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8CEFB" w14:textId="77777777" w:rsidR="00CA246C" w:rsidRDefault="00CA246C" w:rsidP="00375E4C">
      <w:pPr>
        <w:rPr>
          <w:rFonts w:ascii="Times New Roman" w:hAnsi="Times New Roman" w:cs="Times New Roman"/>
          <w:b/>
          <w:bCs/>
          <w:sz w:val="24"/>
          <w:szCs w:val="24"/>
        </w:rPr>
      </w:pPr>
      <w:r w:rsidRPr="00861D93">
        <w:rPr>
          <w:rFonts w:ascii="Times New Roman" w:hAnsi="Times New Roman" w:cs="Times New Roman"/>
          <w:b/>
          <w:bCs/>
          <w:sz w:val="24"/>
          <w:szCs w:val="24"/>
        </w:rPr>
        <w:t>Non-Destructive Model for Estimating Leaf Area and Growth of Cnidoscolus aconitifolius Cultivated Using Different Stem Diameter of the Semi Hardwood Cuttings</w:t>
      </w:r>
    </w:p>
    <w:p w14:paraId="4B0BCE04" w14:textId="77777777" w:rsidR="002A7D4A" w:rsidRPr="00861D93" w:rsidRDefault="002A7D4A" w:rsidP="00375E4C">
      <w:pPr>
        <w:rPr>
          <w:rFonts w:ascii="Times New Roman" w:hAnsi="Times New Roman" w:cs="Times New Roman"/>
          <w:b/>
          <w:bCs/>
          <w:sz w:val="24"/>
          <w:szCs w:val="24"/>
        </w:rPr>
      </w:pPr>
    </w:p>
    <w:p w14:paraId="163934C0" w14:textId="77777777" w:rsidR="00CA246C" w:rsidRPr="00D54675" w:rsidRDefault="00CA246C" w:rsidP="00375E4C">
      <w:pPr>
        <w:rPr>
          <w:rFonts w:ascii="Times New Roman" w:hAnsi="Times New Roman" w:cs="Times New Roman"/>
          <w:b/>
          <w:bCs/>
          <w:sz w:val="20"/>
          <w:szCs w:val="20"/>
        </w:rPr>
      </w:pPr>
      <w:r w:rsidRPr="00D54675">
        <w:rPr>
          <w:rFonts w:ascii="Times New Roman" w:hAnsi="Times New Roman" w:cs="Times New Roman"/>
          <w:b/>
          <w:bCs/>
          <w:sz w:val="20"/>
          <w:szCs w:val="20"/>
        </w:rPr>
        <w:t>Fitra Gustiar1), Benyamin Lakitan1,2*), Dedik Budianta1) and Zaidan P. Negara1)</w:t>
      </w:r>
    </w:p>
    <w:p w14:paraId="2BA95AC1" w14:textId="77777777" w:rsidR="00CA246C" w:rsidRPr="00D54675" w:rsidRDefault="00CA246C" w:rsidP="00375E4C">
      <w:pPr>
        <w:rPr>
          <w:rFonts w:ascii="Times New Roman" w:hAnsi="Times New Roman" w:cs="Times New Roman"/>
          <w:sz w:val="20"/>
          <w:szCs w:val="20"/>
        </w:rPr>
      </w:pPr>
      <w:r w:rsidRPr="00D54675">
        <w:rPr>
          <w:rFonts w:ascii="Times New Roman" w:hAnsi="Times New Roman" w:cs="Times New Roman"/>
          <w:sz w:val="20"/>
          <w:szCs w:val="20"/>
        </w:rPr>
        <w:t>1) Department of Agronomy, Universitas Sriwijaya, Inderalaya 30662, Indonesia</w:t>
      </w:r>
    </w:p>
    <w:p w14:paraId="1B0B7003" w14:textId="77777777" w:rsidR="00CA246C" w:rsidRPr="00D54675" w:rsidRDefault="00CA246C" w:rsidP="00375E4C">
      <w:pPr>
        <w:rPr>
          <w:rFonts w:ascii="Times New Roman" w:hAnsi="Times New Roman" w:cs="Times New Roman"/>
          <w:sz w:val="20"/>
          <w:szCs w:val="20"/>
        </w:rPr>
      </w:pPr>
      <w:r w:rsidRPr="00D54675">
        <w:rPr>
          <w:rFonts w:ascii="Times New Roman" w:hAnsi="Times New Roman" w:cs="Times New Roman"/>
          <w:sz w:val="20"/>
          <w:szCs w:val="20"/>
        </w:rPr>
        <w:t>2) Research Center for Sub-optimal Lands, Universitas Sriwijaya, Palembang, 30139, Indonesia</w:t>
      </w:r>
    </w:p>
    <w:p w14:paraId="20D4EB06" w14:textId="77777777" w:rsidR="00CA246C" w:rsidRPr="00D54675" w:rsidRDefault="00CA246C" w:rsidP="00375E4C">
      <w:pPr>
        <w:rPr>
          <w:rFonts w:ascii="Times New Roman" w:hAnsi="Times New Roman" w:cs="Times New Roman"/>
          <w:sz w:val="20"/>
          <w:szCs w:val="20"/>
        </w:rPr>
      </w:pPr>
      <w:r w:rsidRPr="00D54675">
        <w:rPr>
          <w:rFonts w:ascii="Times New Roman" w:hAnsi="Times New Roman" w:cs="Times New Roman"/>
          <w:sz w:val="20"/>
          <w:szCs w:val="20"/>
        </w:rPr>
        <w:t>*) Corresponding author E-mail: blakitan60@unsri.ac.id</w:t>
      </w:r>
    </w:p>
    <w:p w14:paraId="2349070B" w14:textId="77777777" w:rsidR="00CA246C" w:rsidRDefault="00CA246C" w:rsidP="00375E4C">
      <w:pPr>
        <w:rPr>
          <w:rFonts w:ascii="Times New Roman" w:hAnsi="Times New Roman" w:cs="Times New Roman"/>
          <w:sz w:val="20"/>
          <w:szCs w:val="20"/>
        </w:rPr>
      </w:pPr>
      <w:r w:rsidRPr="00D54675">
        <w:rPr>
          <w:rFonts w:ascii="Times New Roman" w:hAnsi="Times New Roman" w:cs="Times New Roman"/>
          <w:sz w:val="20"/>
          <w:szCs w:val="20"/>
        </w:rPr>
        <w:t>Received: July 2, 2022 /Accepted: January 16, 2023</w:t>
      </w:r>
    </w:p>
    <w:p w14:paraId="52E0E617" w14:textId="77777777" w:rsidR="00375E4C" w:rsidRPr="00D54675" w:rsidRDefault="00375E4C" w:rsidP="00375E4C">
      <w:pPr>
        <w:rPr>
          <w:rFonts w:ascii="Times New Roman" w:hAnsi="Times New Roman" w:cs="Times New Roman"/>
          <w:sz w:val="20"/>
          <w:szCs w:val="20"/>
        </w:rPr>
      </w:pPr>
    </w:p>
    <w:p w14:paraId="439FFDDF" w14:textId="77777777" w:rsidR="00CA246C" w:rsidRPr="00D54675" w:rsidRDefault="00CA246C" w:rsidP="00375E4C">
      <w:pPr>
        <w:rPr>
          <w:rFonts w:ascii="Times New Roman" w:hAnsi="Times New Roman" w:cs="Times New Roman"/>
          <w:b/>
          <w:bCs/>
          <w:sz w:val="20"/>
          <w:szCs w:val="20"/>
        </w:rPr>
      </w:pPr>
      <w:r w:rsidRPr="00D54675">
        <w:rPr>
          <w:rFonts w:ascii="Times New Roman" w:hAnsi="Times New Roman" w:cs="Times New Roman"/>
          <w:b/>
          <w:bCs/>
          <w:sz w:val="20"/>
          <w:szCs w:val="20"/>
        </w:rPr>
        <w:t>ABSTRACT</w:t>
      </w:r>
    </w:p>
    <w:p w14:paraId="6BDB3BC9"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Chaya (Cnidoscolus aconitifolius (Mill.) I.M. Johnst.) is a perennial leafy vegetable. Since the leaf blade is the most crucial component of the Chaya, it should be advantageous to estimate the leaf area non-destructively.  This research aimed to (a) develop a beneficial non-destructive model for leaf area estimation, and (b) ascertain the impact of stem cutting diameter when used as planting material on chaya growth rate. The results demonstrated that utilizing the length x width (LW) of the middle lobe as the predictor and the zero intercepts linear regression LA = 1.679 LWm with R2=0.947 determination coefficient was the most dependable model for Chaya plant leaf area estimation. The stem diameter, which ranged from 9.9 to 17.3 mm, had affected the shoot length, number of leaves, and canopy area between 5 and 7 weeks after planting (WAP). The variations in growth metrics diminished along with the age of plants. The diameter of the stem cutting used as planting material had no effect on the fresh weight of young edible shoot tip at 11 WAP. On Chaya plants that were cultivated with larger stem cutting diameters, the fresh leaf weight at the branch tips was heavier.</w:t>
      </w:r>
    </w:p>
    <w:p w14:paraId="54917DD0"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 xml:space="preserve">Keywords: Leaf area predictor; Perennial vegetable; Tropical climate; Vegetative propagation </w:t>
      </w:r>
    </w:p>
    <w:p w14:paraId="6C946EB3" w14:textId="664083F9" w:rsidR="00CA246C" w:rsidRPr="00F91458" w:rsidRDefault="00CA246C" w:rsidP="00F91458">
      <w:pPr>
        <w:pStyle w:val="ListParagraph"/>
        <w:numPr>
          <w:ilvl w:val="0"/>
          <w:numId w:val="1"/>
        </w:numPr>
        <w:ind w:left="284" w:hanging="284"/>
        <w:rPr>
          <w:rFonts w:ascii="Times New Roman" w:hAnsi="Times New Roman" w:cs="Times New Roman"/>
          <w:b/>
          <w:bCs/>
          <w:sz w:val="20"/>
          <w:szCs w:val="20"/>
        </w:rPr>
      </w:pPr>
      <w:r w:rsidRPr="00F91458">
        <w:rPr>
          <w:rFonts w:ascii="Times New Roman" w:hAnsi="Times New Roman" w:cs="Times New Roman"/>
          <w:b/>
          <w:bCs/>
          <w:sz w:val="20"/>
          <w:szCs w:val="20"/>
        </w:rPr>
        <w:t>INTRODUCTION</w:t>
      </w:r>
    </w:p>
    <w:p w14:paraId="1567B693"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Cnidoscolus aconitifolius (Mill.) I. M. Johnst. belongs to the Euphorbiaceae family, commonly called as "Chaya", is a native to Yucatan peninsula in Mexico and widely cultivated in Mexico and Central America. Chaya is a perennial leafy vegetable in the tropical climate. The young leaves can be harvested at any time. Chaya is a shrubby tree that can grow up to 3 m in height, and the canopy diameter can grow up to 2 m wide. The morphology of Chaya leaves is mostly sagittate shape with 5 lobes. The lobes are symmetrical, broad base, and loosely jagged edges, especially in the apical lobe and the apex of the lobe (Van Welzen &amp; Fernández-Casas 2017). Chaya is a plant that is easy to grow and maintain on various types of less fertile soil and is tolerant to drought. The plant is also not prone to pest and disease attacks (Schwarcz, Ford, Knyf &amp; Kumar 2021).</w:t>
      </w:r>
    </w:p>
    <w:p w14:paraId="46D3EE75"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leaf of Chaya plant is useful as a nutritious vegetable and traditional medicine for human health (Ebel, Aguilar, Cocom &amp; Kissmann, 2019). The Chaya leaf contains high nutritional and phytochemical values, such as vitamin A, C, calcium, potassium, and iron (Ramírez, Metri, González &amp; Baigts, 2021; Kongphapa, Chupanit, Anutrakulchai, Cha'on, &amp; Pasuwan. 2022; Ebel, Aguilar, Cocom &amp; Kissmann, 2019). The phytochemicals found in Chaya leaf include flavonoids, phenols, alkaloids, saponins, terpenoids, tannins, phlobatannins, cardiac glycosides, anthraquinones, terpenes including cyanogenetic glycoside (Prajanban &amp; Fangkrathok, 2022). In Mexico, the Chaya leaf has been used as a traditional medicine for several diseases, diabetes mellitus and high blood pressure (Angelica, Maria, Gabino, Patricia &amp; Rafael, 2011).</w:t>
      </w:r>
    </w:p>
    <w:p w14:paraId="4B6FDC2A"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 xml:space="preserve">Chaya is undoubtedly one of the original prospective super-crops because of its simple crop management and high nutritional content having the potential to address nutritional shortfalls in hot regions of developing countries all over the world (Ebel, Aguilar, Cocom &amp; Kissmann, 2019). Chaya leaf must be cooked first because the uncooked </w:t>
      </w:r>
      <w:r w:rsidRPr="00D54675">
        <w:rPr>
          <w:rFonts w:ascii="Times New Roman" w:hAnsi="Times New Roman" w:cs="Times New Roman"/>
          <w:sz w:val="20"/>
          <w:szCs w:val="20"/>
        </w:rPr>
        <w:lastRenderedPageBreak/>
        <w:t>Chaya leaf contains cyanogenic glycosides that produce hydrogen cyanide (HCN). Cyanide levels readily decrease during cooking to below the allowable levels (Ross-Ibarra &amp; Molina-Cruz., 2002).  The leaf blade, petiole, and young stem make up the edible shoot tip. Chaya's yield is the young, edible branch tip, which primarily consists of leaf blades and petioles.</w:t>
      </w:r>
    </w:p>
    <w:p w14:paraId="1D5E130C"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In general, propagation from seed is the most convenient and cost-effective method for cultivation, but this is not true for The Chaya plant (Mežaka, Kļaviņa, Kaļāne, &amp; Kronberga, 2023). The Chaya plant does not produce seeds because the flower pollen is infertile (Van Welzen &amp; Fernández-Casas, 2017).  Hence, the propagation can only be done with stem cuttings. The success of Chaya cultivation using stem cuttings is influenced by many factors, including the genotypes, physiological age, ontogenetic age of the trees, and size of planting material (Yusnita, Jamaludin, Agustiansyah &amp; Hapsoro, 2017).  Physical factors such as the cutting length and diameter must be considered because they affect the ability of the cutting material to form roots (Schoffel et al., 2020). The lateral branch is commonly used. The length and diameter of good cuttings for each type of plant differ from one to another. Furthermore, the diameter size of cutting material contributes to the differences in carbohydrate accumulation. The longer and larger stem size it has, the more nutrient reserves to support the growth will be. Comprehensive studies on the cultivation system of Chaya plants have not been done intensively, including the relationship among the size of stem cuttings, plant, growth, and yield (Hartmann, Kester, Davies &amp; Geneve, 2002).</w:t>
      </w:r>
    </w:p>
    <w:p w14:paraId="3D0D7A64"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One of the indicators that can be used is leaf growth. The leaf is the main organ for photosynthesis because it contains the chloroplasts for acquiring sunlight energy in synthesizing carbohydrates. The leaf is a significant part of the total surface area and physiological functions of almost any plant. The leaf area (LA) has been reported to be closely associated with many morphologies, including biomass, circumference, length, and width of individual and total leaves (Shi, Niinemets &amp; Gielis, 2020); and physiological traits, including the relative growth rate, specific leaf area and net assimilation rate (Zulkarnaini, Sakimin, Mohamed &amp; Jaafar, 2019). Therefore, measuring the LA can provide information of leaf capacity to perform photosynthesis in plant growth analysis (Pandey et al., 2017). A model for accurately yet non-destructively becomes a necessity to study the growth and development of Chaya plants (Hernández-Fernandéz, Jarma-Orozco &amp; Pompelli, 2021).</w:t>
      </w:r>
    </w:p>
    <w:p w14:paraId="491D2FA9"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leaf length (L), width (W), and length x width (LW)  are excellent non-destructive predictors of LA (Yu, Shi, Schrader &amp; Niklas, 2020). The LW is the most directly related predictor to the LA estimation because the LW is an imaginary rectangular area created based on the two-directional leaf growth. The leaf thickness insignificantly contributes to the leaf surface area, except for a succulent leaf. The use of L, W, and LW for non-destructive estimation of LA has been accepted by worldwide researchers, including in tomatoes, cacao (Salazar, Melgarejo, Melgarejo, Di Rienzo &amp; Casanoves, 2018), loquat (Teobaldelli et al., 2019), guava (Gonçalves, Ribeiro &amp; Amorim, 2022), apple (Boyacı &amp; Küçükönder, 2022), and many more.</w:t>
      </w:r>
    </w:p>
    <w:p w14:paraId="7FBA3E5B"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profitable part of Chaya plant is the leaves. Therefore, this study focused more on the leaf, including developing the models for estimating the leaf area. The models are required for non-destructively and continuously monitoring growth of the same leaves. The most proper predictors are measurable morphological traits directly related to the leaves, i.e., length and width of the leaf (Lakitan, Kartika, Widuri, Siaga &amp; Fadila, 2021).</w:t>
      </w:r>
    </w:p>
    <w:p w14:paraId="26F732B4" w14:textId="77777777" w:rsidR="00CA246C"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An ability to monitor the leaf growth using the non-destructive LA measurements provides the opportunity to predict the leaf age at the optimum leaf size for harvesting (Concepcion, Dadios &amp; Cuello, 2021) based on the Sigmoid growing curve of each selected plant. The goal of this research was to: (1) to evaluate the relationship between the diameter of stem cutting and growth and (2) to develop accurate yet non-destructive models for estimating the leaf area of Chaya plant. The estimation models were further used in the growth analysis of the Chaya plant.</w:t>
      </w:r>
    </w:p>
    <w:p w14:paraId="7D005796" w14:textId="77777777" w:rsidR="00CA246C" w:rsidRPr="00D54675" w:rsidRDefault="00CA246C" w:rsidP="00CA246C">
      <w:pPr>
        <w:rPr>
          <w:rFonts w:ascii="Times New Roman" w:hAnsi="Times New Roman" w:cs="Times New Roman"/>
          <w:sz w:val="20"/>
          <w:szCs w:val="20"/>
        </w:rPr>
      </w:pPr>
    </w:p>
    <w:p w14:paraId="7460F0CA" w14:textId="6135923F" w:rsidR="00CA246C" w:rsidRPr="00F91458" w:rsidRDefault="005E4317" w:rsidP="00F91458">
      <w:pPr>
        <w:pStyle w:val="ListParagraph"/>
        <w:numPr>
          <w:ilvl w:val="0"/>
          <w:numId w:val="1"/>
        </w:numPr>
        <w:ind w:left="284" w:hanging="284"/>
        <w:rPr>
          <w:rFonts w:ascii="Times New Roman" w:hAnsi="Times New Roman" w:cs="Times New Roman"/>
          <w:b/>
          <w:bCs/>
          <w:sz w:val="20"/>
          <w:szCs w:val="20"/>
        </w:rPr>
      </w:pPr>
      <w:r w:rsidRPr="00F91458">
        <w:rPr>
          <w:rFonts w:ascii="Times New Roman" w:hAnsi="Times New Roman" w:cs="Times New Roman"/>
          <w:b/>
          <w:bCs/>
          <w:sz w:val="20"/>
          <w:szCs w:val="20"/>
        </w:rPr>
        <w:t>EXPERIMENTAL SECTION</w:t>
      </w:r>
    </w:p>
    <w:p w14:paraId="46026793" w14:textId="25F0AD88" w:rsidR="00CA246C" w:rsidRPr="00F91458" w:rsidRDefault="00CA246C" w:rsidP="00F91458">
      <w:pPr>
        <w:pStyle w:val="ListParagraph"/>
        <w:numPr>
          <w:ilvl w:val="1"/>
          <w:numId w:val="1"/>
        </w:numPr>
        <w:ind w:left="426" w:hanging="426"/>
        <w:rPr>
          <w:rFonts w:ascii="Times New Roman" w:hAnsi="Times New Roman" w:cs="Times New Roman"/>
          <w:b/>
          <w:bCs/>
          <w:sz w:val="20"/>
          <w:szCs w:val="20"/>
        </w:rPr>
      </w:pPr>
      <w:r w:rsidRPr="00F91458">
        <w:rPr>
          <w:rFonts w:ascii="Times New Roman" w:hAnsi="Times New Roman" w:cs="Times New Roman"/>
          <w:b/>
          <w:bCs/>
          <w:sz w:val="20"/>
          <w:szCs w:val="20"/>
        </w:rPr>
        <w:t>Research Location, Biomaterial Use, and Cultivation Procedures</w:t>
      </w:r>
    </w:p>
    <w:p w14:paraId="654C4559"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 xml:space="preserve">The study was carried out from October to December 2021 at an outdoor research facilities, in Palembang, South Sumatra, Indonesia. The planting material used in this study was the stem cuttings of Chaya ‘Picuda’ which was already domesticated. The stem cuttings were prepared using the middle section of mature lateral branches on the </w:t>
      </w:r>
      <w:r w:rsidRPr="00D54675">
        <w:rPr>
          <w:rFonts w:ascii="Times New Roman" w:hAnsi="Times New Roman" w:cs="Times New Roman"/>
          <w:sz w:val="20"/>
          <w:szCs w:val="20"/>
        </w:rPr>
        <w:lastRenderedPageBreak/>
        <w:t>mother plant. The length of stem cutting was 25 cm. The stem cuttings were grouped into small (9.5-12.4 mm), medium (12.5-14.4 mm) and large (14.5-17.4 mm) diameters. Morphology of the Chaya mature plants is presented in Fig. 1.</w:t>
      </w:r>
    </w:p>
    <w:p w14:paraId="3A0D4418"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pots with the stem cuttings were filled with a 4:1 v/v mixture of soil and manure and had a diameter of 30 cm and a height of 30 cm, which had been prepared two week before. Each pot was planted with 1 stem cutting with a perpendicular position to the depth of 8 cm. For increasing uniformity within the population of Chaya plants used in this study, only one vigorous branch was kept while the others were excised 6 weeks after the stem cutting was planted. In addition, at the beginning of the generative phase, all early flowers developed at the terminal position of the maintained branch were removed to encourage the secondary branches' development. Mostly, each plant produced 3 relatively equal secondary branches. Therefore, the treatment on the number of branches per plant was derived by maintaining 1, 2, or 3 branches developed at the terminal position of the single first branch.</w:t>
      </w:r>
    </w:p>
    <w:p w14:paraId="29FA219D"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edible part of Chaya plant was the young leaves; therefore, during the cultivation of Chaya plant, all flowers were pinched at their early development such that the plant was continuously in the vegetative stage. As a result, the Chaya plant did not produce fertile seeds.</w:t>
      </w:r>
    </w:p>
    <w:p w14:paraId="7BE85627" w14:textId="09FAFDFC" w:rsidR="00CA246C" w:rsidRPr="00F91458" w:rsidRDefault="00CA246C" w:rsidP="00F91458">
      <w:pPr>
        <w:pStyle w:val="ListParagraph"/>
        <w:numPr>
          <w:ilvl w:val="1"/>
          <w:numId w:val="1"/>
        </w:numPr>
        <w:ind w:left="0" w:firstLine="0"/>
        <w:rPr>
          <w:rFonts w:ascii="Times New Roman" w:hAnsi="Times New Roman" w:cs="Times New Roman"/>
          <w:b/>
          <w:bCs/>
          <w:sz w:val="20"/>
          <w:szCs w:val="20"/>
        </w:rPr>
      </w:pPr>
      <w:r w:rsidRPr="00F91458">
        <w:rPr>
          <w:rFonts w:ascii="Times New Roman" w:hAnsi="Times New Roman" w:cs="Times New Roman"/>
          <w:b/>
          <w:bCs/>
          <w:sz w:val="20"/>
          <w:szCs w:val="20"/>
        </w:rPr>
        <w:t>Leaf Area Estimation</w:t>
      </w:r>
    </w:p>
    <w:p w14:paraId="1B3E195F"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Chaya leaves were deeply cut and mostly 15 to 25 cm long. They had 5 major lobes and 2 smaller basal lobes. The lobes were sharply toothed (Fig. 2). The leaf shape was symmetric. The left side of the leaf was a mirror shape of the right side. The left, middle, and right lobes were individually used in estimating the area of the whole chaya compound leaf. Each lobe's value of length x width (LW) was used as the predictor. In this study, direct yet destructive leaf area measurement was conducted using the software for analyzing digital images (LIA32, developed by Kazukiyo Yamamoto, Nagoya University, Japan) connected to PC and image scanning hardware. More than 400 leaves, spreading from the smallest to the most extensive available leaves were included. The leaves were measured when they were performed at harvest in 11 weeks after planting. The leaf area estimation models were developed based on the power and zero-intercept linear regressions (Lakitan, Kartika, Widuri, Siaga &amp; Fadila, 2021; Nurshanti, et al., 2022).</w:t>
      </w:r>
    </w:p>
    <w:p w14:paraId="38600716"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 xml:space="preserve"> </w:t>
      </w:r>
    </w:p>
    <w:p w14:paraId="3396279E" w14:textId="2E5BBFD5" w:rsidR="00CA246C" w:rsidRPr="00D54675" w:rsidRDefault="00CA246C" w:rsidP="00CA246C">
      <w:pPr>
        <w:rPr>
          <w:rFonts w:ascii="Times New Roman" w:hAnsi="Times New Roman" w:cs="Times New Roman"/>
          <w:sz w:val="20"/>
          <w:szCs w:val="20"/>
        </w:rPr>
      </w:pPr>
      <w:r>
        <w:rPr>
          <w:noProof/>
        </w:rPr>
        <w:drawing>
          <wp:inline distT="0" distB="0" distL="0" distR="0" wp14:anchorId="10DB1C88" wp14:editId="40E25231">
            <wp:extent cx="5930900" cy="3035300"/>
            <wp:effectExtent l="0" t="0" r="0" b="0"/>
            <wp:docPr id="953880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80858" name=""/>
                    <pic:cNvPicPr/>
                  </pic:nvPicPr>
                  <pic:blipFill>
                    <a:blip r:embed="rId5"/>
                    <a:stretch>
                      <a:fillRect/>
                    </a:stretch>
                  </pic:blipFill>
                  <pic:spPr>
                    <a:xfrm>
                      <a:off x="0" y="0"/>
                      <a:ext cx="5930900" cy="3035300"/>
                    </a:xfrm>
                    <a:prstGeom prst="rect">
                      <a:avLst/>
                    </a:prstGeom>
                  </pic:spPr>
                </pic:pic>
              </a:graphicData>
            </a:graphic>
          </wp:inline>
        </w:drawing>
      </w:r>
    </w:p>
    <w:p w14:paraId="227AAF2B"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 xml:space="preserve">Fig. 1. Morphology of the Chaya plant (A) and its main components: infertile flower (B), empty fruit sack (C), shape of leaf (D), and mature stem (F). </w:t>
      </w:r>
    </w:p>
    <w:p w14:paraId="579EC522" w14:textId="4523F7B9" w:rsidR="00CA246C" w:rsidRPr="00F91458" w:rsidRDefault="00CA246C" w:rsidP="00F91458">
      <w:pPr>
        <w:pStyle w:val="ListParagraph"/>
        <w:numPr>
          <w:ilvl w:val="1"/>
          <w:numId w:val="1"/>
        </w:numPr>
        <w:ind w:left="0" w:firstLine="0"/>
        <w:rPr>
          <w:rFonts w:ascii="Times New Roman" w:hAnsi="Times New Roman" w:cs="Times New Roman"/>
          <w:b/>
          <w:bCs/>
          <w:sz w:val="20"/>
          <w:szCs w:val="20"/>
        </w:rPr>
      </w:pPr>
      <w:r w:rsidRPr="00F91458">
        <w:rPr>
          <w:rFonts w:ascii="Times New Roman" w:hAnsi="Times New Roman" w:cs="Times New Roman"/>
          <w:b/>
          <w:bCs/>
          <w:sz w:val="20"/>
          <w:szCs w:val="20"/>
        </w:rPr>
        <w:lastRenderedPageBreak/>
        <w:t>Data Collection</w:t>
      </w:r>
    </w:p>
    <w:p w14:paraId="00FD9241"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Non-destructive data were collected during the plant growth, and destructive measurements were performed at harvest. The measured growth traits included length of shoot, number of branches, number of leaves, canopy area, and SPAD value. The measurement of the canopy area used the camera digital images method (Easlon and Bloom, 2014) and SPDA value with Konica Minolta SPAD-502. Meanwhile, the dry and fresh weight of leaf and stem, stem diameter, the ratio of edible/total harvested biomass, total leaf area, and leaf water content were collected at the harvest period. The leaf harvest was carried out 11 weeks after planting.</w:t>
      </w:r>
    </w:p>
    <w:p w14:paraId="1AE0867B" w14:textId="67C1C3BE" w:rsidR="00CA246C" w:rsidRPr="00F91458" w:rsidRDefault="00CA246C" w:rsidP="00F91458">
      <w:pPr>
        <w:pStyle w:val="ListParagraph"/>
        <w:numPr>
          <w:ilvl w:val="1"/>
          <w:numId w:val="1"/>
        </w:numPr>
        <w:ind w:left="284" w:hanging="284"/>
        <w:rPr>
          <w:rFonts w:ascii="Times New Roman" w:hAnsi="Times New Roman" w:cs="Times New Roman"/>
          <w:b/>
          <w:bCs/>
          <w:sz w:val="20"/>
          <w:szCs w:val="20"/>
        </w:rPr>
      </w:pPr>
      <w:r w:rsidRPr="00F91458">
        <w:rPr>
          <w:rFonts w:ascii="Times New Roman" w:hAnsi="Times New Roman" w:cs="Times New Roman"/>
          <w:b/>
          <w:bCs/>
          <w:sz w:val="20"/>
          <w:szCs w:val="20"/>
        </w:rPr>
        <w:t>Data Analysis</w:t>
      </w:r>
    </w:p>
    <w:p w14:paraId="3293DF5F"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 xml:space="preserve">This research was established using a randomized block design with 3 different stem cutting diameters as treatment, 6 replications, and each replication consisted of 3 plants. Statistical analysis software was used to analyze the data that had been collected (developed by the DAASTAT for Windows 10 by the University of Perugia and Thailand Horticulture Research Institute). The significant differences among the treatments were tested using the least significant difference (LSD) test at P ≤ 0.05. </w:t>
      </w:r>
    </w:p>
    <w:p w14:paraId="6DED17D0"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Zero-intercept linear regression was used as a predictor estimation model, namely LA = LW and LA = LW*NoL. Power regression is also used as a leaf area estimation model because it fitted very well with most of the possible predictors. The coefficient of determination (R2) indicated each developed model's level of accuracy. The dependability of the model was demonstrated by the R2 value between the measured and predicted LA.</w:t>
      </w:r>
    </w:p>
    <w:p w14:paraId="3BB77605" w14:textId="5FEA91AB" w:rsidR="00CA246C" w:rsidRPr="00F91458" w:rsidRDefault="00CA246C" w:rsidP="00F91458">
      <w:pPr>
        <w:pStyle w:val="ListParagraph"/>
        <w:numPr>
          <w:ilvl w:val="0"/>
          <w:numId w:val="1"/>
        </w:numPr>
        <w:ind w:left="284" w:hanging="284"/>
        <w:rPr>
          <w:rFonts w:ascii="Times New Roman" w:hAnsi="Times New Roman" w:cs="Times New Roman"/>
          <w:b/>
          <w:bCs/>
          <w:sz w:val="20"/>
          <w:szCs w:val="20"/>
        </w:rPr>
      </w:pPr>
      <w:r w:rsidRPr="00F91458">
        <w:rPr>
          <w:rFonts w:ascii="Times New Roman" w:hAnsi="Times New Roman" w:cs="Times New Roman"/>
          <w:b/>
          <w:bCs/>
          <w:sz w:val="20"/>
          <w:szCs w:val="20"/>
        </w:rPr>
        <w:t>RESULTS AND DISCUSSION</w:t>
      </w:r>
    </w:p>
    <w:p w14:paraId="08376BD2" w14:textId="70FBD7FF" w:rsidR="00CA246C" w:rsidRPr="00F91458" w:rsidRDefault="00CA246C" w:rsidP="00F91458">
      <w:pPr>
        <w:pStyle w:val="ListParagraph"/>
        <w:numPr>
          <w:ilvl w:val="1"/>
          <w:numId w:val="1"/>
        </w:numPr>
        <w:ind w:left="426" w:hanging="426"/>
        <w:rPr>
          <w:rFonts w:ascii="Times New Roman" w:hAnsi="Times New Roman" w:cs="Times New Roman"/>
          <w:b/>
          <w:bCs/>
          <w:sz w:val="20"/>
          <w:szCs w:val="20"/>
        </w:rPr>
      </w:pPr>
      <w:r w:rsidRPr="00F91458">
        <w:rPr>
          <w:rFonts w:ascii="Times New Roman" w:hAnsi="Times New Roman" w:cs="Times New Roman"/>
          <w:b/>
          <w:bCs/>
          <w:sz w:val="20"/>
          <w:szCs w:val="20"/>
        </w:rPr>
        <w:t>Leaf Area Estimation of Chaya Plant</w:t>
      </w:r>
    </w:p>
    <w:p w14:paraId="51300E23"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result of the study showed that the zero-intercept liner model was consistently a better estimation model than the power regression model based on the coefficient of determination (R2) and the R2 value of the middle lobe (0.9474) was a better predictor than either the left lobe (0.9384) or right lobe (0.9340) (Fig. 3). The recommended method for estimating the compound leaf area (LA) of chaya was the use of a zero-intercept linear model with the LW of the middle lobe as a predictor.</w:t>
      </w:r>
    </w:p>
    <w:p w14:paraId="3B9B2D0E" w14:textId="77777777" w:rsidR="00CA246C"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In this study, all lengths and widths of the middle, right, and left lobes were accurate and reliable predictors for Chaya leaf area. These reflected the regularity of the shape of Chaya leaf despite as a compound leaf with many lobes and jagged edges. The leaf shape is also consistent over a broad spectrum of leaf sizes.</w:t>
      </w:r>
    </w:p>
    <w:p w14:paraId="4886A1BC" w14:textId="2B68B12B" w:rsidR="00CA246C" w:rsidRPr="00D54675" w:rsidRDefault="00CA246C" w:rsidP="00CA246C">
      <w:pPr>
        <w:jc w:val="center"/>
        <w:rPr>
          <w:rFonts w:ascii="Times New Roman" w:hAnsi="Times New Roman" w:cs="Times New Roman"/>
          <w:sz w:val="20"/>
          <w:szCs w:val="20"/>
        </w:rPr>
      </w:pPr>
      <w:r>
        <w:rPr>
          <w:noProof/>
        </w:rPr>
        <w:drawing>
          <wp:inline distT="0" distB="0" distL="0" distR="0" wp14:anchorId="6A6199A8" wp14:editId="3D50B678">
            <wp:extent cx="2743200" cy="2552700"/>
            <wp:effectExtent l="0" t="0" r="0" b="0"/>
            <wp:docPr id="101744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43782" name=""/>
                    <pic:cNvPicPr/>
                  </pic:nvPicPr>
                  <pic:blipFill>
                    <a:blip r:embed="rId6"/>
                    <a:stretch>
                      <a:fillRect/>
                    </a:stretch>
                  </pic:blipFill>
                  <pic:spPr>
                    <a:xfrm>
                      <a:off x="0" y="0"/>
                      <a:ext cx="2743200" cy="2552700"/>
                    </a:xfrm>
                    <a:prstGeom prst="rect">
                      <a:avLst/>
                    </a:prstGeom>
                  </pic:spPr>
                </pic:pic>
              </a:graphicData>
            </a:graphic>
          </wp:inline>
        </w:drawing>
      </w:r>
    </w:p>
    <w:p w14:paraId="6FF77F29" w14:textId="77777777" w:rsidR="00CA246C"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Fig. 2.  Procedure for measuring the length and width of the left lobe (a), middle lobe (b), right lobe (c) and basal lobes (d) in Chaya leaf.</w:t>
      </w:r>
    </w:p>
    <w:p w14:paraId="2EC57212" w14:textId="77777777" w:rsidR="00CA246C" w:rsidRPr="00D54675" w:rsidRDefault="00CA246C" w:rsidP="00CA246C">
      <w:pPr>
        <w:rPr>
          <w:rFonts w:ascii="Times New Roman" w:hAnsi="Times New Roman" w:cs="Times New Roman"/>
          <w:sz w:val="20"/>
          <w:szCs w:val="20"/>
        </w:rPr>
      </w:pPr>
    </w:p>
    <w:p w14:paraId="67B5F2DB" w14:textId="1BE5F65A" w:rsidR="00CA246C" w:rsidRPr="00D54675" w:rsidRDefault="00CA246C" w:rsidP="00CA246C">
      <w:pPr>
        <w:rPr>
          <w:rFonts w:ascii="Times New Roman" w:hAnsi="Times New Roman" w:cs="Times New Roman"/>
          <w:sz w:val="20"/>
          <w:szCs w:val="20"/>
        </w:rPr>
      </w:pPr>
      <w:r>
        <w:rPr>
          <w:noProof/>
        </w:rPr>
        <w:drawing>
          <wp:inline distT="0" distB="0" distL="0" distR="0" wp14:anchorId="6028A134" wp14:editId="01B9C459">
            <wp:extent cx="5943600" cy="6807200"/>
            <wp:effectExtent l="0" t="0" r="0" b="0"/>
            <wp:docPr id="1363792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92822" name=""/>
                    <pic:cNvPicPr/>
                  </pic:nvPicPr>
                  <pic:blipFill>
                    <a:blip r:embed="rId7"/>
                    <a:stretch>
                      <a:fillRect/>
                    </a:stretch>
                  </pic:blipFill>
                  <pic:spPr>
                    <a:xfrm>
                      <a:off x="0" y="0"/>
                      <a:ext cx="5943600" cy="6807200"/>
                    </a:xfrm>
                    <a:prstGeom prst="rect">
                      <a:avLst/>
                    </a:prstGeom>
                  </pic:spPr>
                </pic:pic>
              </a:graphicData>
            </a:graphic>
          </wp:inline>
        </w:drawing>
      </w:r>
    </w:p>
    <w:p w14:paraId="4A329EFD"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Fig. 3. Comparison between the zero-intercept linear model (leaf column) and power model (right column on accuracy in estimating the compound leaf area of Chaya using length x width (LW) of left (Kaspary et al.), middle (C-D), and right (E-F) lobes as predictor.</w:t>
      </w:r>
    </w:p>
    <w:p w14:paraId="130A2B2D" w14:textId="5E22E96D" w:rsidR="00CA246C" w:rsidRPr="00F91458" w:rsidRDefault="00CA246C" w:rsidP="00F91458">
      <w:pPr>
        <w:pStyle w:val="ListParagraph"/>
        <w:numPr>
          <w:ilvl w:val="1"/>
          <w:numId w:val="1"/>
        </w:numPr>
        <w:ind w:left="0" w:firstLine="0"/>
        <w:rPr>
          <w:rFonts w:ascii="Times New Roman" w:hAnsi="Times New Roman" w:cs="Times New Roman"/>
          <w:b/>
          <w:bCs/>
          <w:sz w:val="20"/>
          <w:szCs w:val="20"/>
        </w:rPr>
      </w:pPr>
      <w:r w:rsidRPr="00F91458">
        <w:rPr>
          <w:rFonts w:ascii="Times New Roman" w:hAnsi="Times New Roman" w:cs="Times New Roman"/>
          <w:b/>
          <w:bCs/>
          <w:sz w:val="20"/>
          <w:szCs w:val="20"/>
        </w:rPr>
        <w:t>Stem Cuttings Diameter and Vegetative Growth</w:t>
      </w:r>
    </w:p>
    <w:p w14:paraId="082719F8"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lastRenderedPageBreak/>
        <w:t>The diameter of the stem cuttings weakly correlated (R2 &lt; 0.1) with all measured chaya morphological growth traits and the leaf SPAD value observed at 7 weeks after planting (WAP) (Fig. 4). This insignificantly different effect of stem diameter on morphological traits in Chaya plants might have been related to the minor differences in the average of stem cutting diameter used in this study. The three categories of small, medium, and large sizes were 11.0 mm, 13.4 mm, and 15.9 mm, respectively. Even though the trends that followed the expectation, i.e., the larger diameter stem cutting produced more extended shoots, more leaves, and broader canopy, the response of individual plants was widely varied. The external factors did not drive the variation since the substrate, and microclimatic conditions were relatively homogenous.</w:t>
      </w:r>
    </w:p>
    <w:p w14:paraId="5F1BF08B"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high variability might relate to the different ages of stem cutting. Although the diameter of the stems was similar, the age or development stage of the stem cuttings was different since the cuttings were collected from the different positions on the lateral branch. The cuttings taken from the base of the semi-woody branches will be harder, and the more the branch's end, the more tender the cuttings collected will be. Hynynen, Eerikäinen, Eerikäinen &amp; Valkonen (2019) reported that the growth rate of uneven-aged stands was highly varied and 20% lower than in the even-aged spruce stands used in assessing cutting responses. Meanwhile, Salazar-Villa et al. (2021) reported that the most extensive diameter stem cuttings of the Jatropha platyphylla produced the highest length, dry weight, and number of roots.</w:t>
      </w:r>
    </w:p>
    <w:p w14:paraId="58525894" w14:textId="77777777" w:rsidR="00CA246C" w:rsidRDefault="00CA246C" w:rsidP="00CA246C">
      <w:pPr>
        <w:rPr>
          <w:rFonts w:ascii="Times New Roman" w:hAnsi="Times New Roman" w:cs="Times New Roman"/>
          <w:sz w:val="20"/>
          <w:szCs w:val="20"/>
        </w:rPr>
      </w:pPr>
    </w:p>
    <w:p w14:paraId="752D92FD" w14:textId="39191DDC" w:rsidR="00CA246C" w:rsidRDefault="00CA246C" w:rsidP="00CA246C">
      <w:pPr>
        <w:rPr>
          <w:rFonts w:ascii="Times New Roman" w:hAnsi="Times New Roman" w:cs="Times New Roman"/>
          <w:sz w:val="20"/>
          <w:szCs w:val="20"/>
        </w:rPr>
      </w:pPr>
      <w:r>
        <w:rPr>
          <w:noProof/>
        </w:rPr>
        <w:drawing>
          <wp:inline distT="0" distB="0" distL="0" distR="0" wp14:anchorId="139B5299" wp14:editId="531229C0">
            <wp:extent cx="5943600" cy="4232910"/>
            <wp:effectExtent l="0" t="0" r="0" b="0"/>
            <wp:docPr id="1454970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70217" name=""/>
                    <pic:cNvPicPr/>
                  </pic:nvPicPr>
                  <pic:blipFill>
                    <a:blip r:embed="rId8"/>
                    <a:stretch>
                      <a:fillRect/>
                    </a:stretch>
                  </pic:blipFill>
                  <pic:spPr>
                    <a:xfrm>
                      <a:off x="0" y="0"/>
                      <a:ext cx="5943600" cy="4232910"/>
                    </a:xfrm>
                    <a:prstGeom prst="rect">
                      <a:avLst/>
                    </a:prstGeom>
                  </pic:spPr>
                </pic:pic>
              </a:graphicData>
            </a:graphic>
          </wp:inline>
        </w:drawing>
      </w:r>
    </w:p>
    <w:p w14:paraId="6B846330" w14:textId="03CFDCB2"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 xml:space="preserve">Fig. 4. The effects of stem diameter as plant material on selected growth components and leaf SPAD values measured at 7 WAP. </w:t>
      </w:r>
    </w:p>
    <w:p w14:paraId="50DE1442" w14:textId="77777777" w:rsidR="00CA246C" w:rsidRPr="00D54675" w:rsidRDefault="00CA246C" w:rsidP="00CA246C">
      <w:pPr>
        <w:rPr>
          <w:rFonts w:ascii="Times New Roman" w:hAnsi="Times New Roman" w:cs="Times New Roman"/>
          <w:sz w:val="20"/>
          <w:szCs w:val="20"/>
        </w:rPr>
      </w:pPr>
    </w:p>
    <w:p w14:paraId="72BC1080"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lastRenderedPageBreak/>
        <w:t xml:space="preserve">The differences in shoot length among the plants grown using different diameter cuttings was diminished after the plant reached the age of 11 WAP (Fig. 5). Unfortunately, the study on the effect of stem cutting diameter on plant growth mostly covers a short-term period during the early vegetative stage. The drop in the number of leaves at 7 WAP in this study was associated with the shoot pruning at 6 WAP for triggering and spurring the development and further growth of the singly maintained lateral branch. </w:t>
      </w:r>
    </w:p>
    <w:p w14:paraId="33D1E740"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Measurement of the area of the canopy was carried out earlier at 3 WAP, that was, at the time when the leaves had not overlapped. The measurements at 11 WAP were not made because the canopy was already highly overlapped, so it was no longer consistently reflected the total leaf area. The increase in canopy area from 3 to 5 WAP appeared consistent and proportional for each plant with different diameters of cuttings used. However, the discrepancy began to appear on measurements at 7 WAP. This irregularity was due to the differences in canopy architecture and the percentage of leaves overlapping within the canopy.</w:t>
      </w:r>
    </w:p>
    <w:p w14:paraId="16A159B2" w14:textId="77777777" w:rsidR="00CA246C"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diameter of stem cutting used at planting did not significantly affect edible and nonedible part of leaf fresh weight, edible and nonedible part of fresh stem weight, and the ratio of edible part to the total biomass of Chaya plant harvested at 11 WAP (Fig. 6). This is in line with the research conducted by Remison, Omorodion &amp; Eifedyi, (2015) and De Oliveira et al., (2020), stating that the length of the cuttings did not affect the vegetative growth and yield of cassava. The edible part is limited to the snappable part of the young stem to the shoot apical meristem. The consumable part and processing of Chaya leaves are the same as those applied to cassava plants. Before consumption, Chaya leaves must be pounded or boiled to reduce the hydrogen cyanide content (Panghal, Shaji, Nain, Garg &amp; Chhikara, 2021).</w:t>
      </w:r>
    </w:p>
    <w:p w14:paraId="3980ABC9" w14:textId="77777777" w:rsidR="00CA246C" w:rsidRPr="00D54675" w:rsidRDefault="00CA246C" w:rsidP="00CA246C">
      <w:pPr>
        <w:rPr>
          <w:rFonts w:ascii="Times New Roman" w:hAnsi="Times New Roman" w:cs="Times New Roman"/>
          <w:sz w:val="20"/>
          <w:szCs w:val="20"/>
        </w:rPr>
      </w:pPr>
    </w:p>
    <w:p w14:paraId="5044B90E" w14:textId="788A068A" w:rsidR="00CA246C" w:rsidRDefault="00CA246C" w:rsidP="00CA246C">
      <w:pPr>
        <w:rPr>
          <w:rFonts w:ascii="Times New Roman" w:hAnsi="Times New Roman" w:cs="Times New Roman"/>
          <w:sz w:val="20"/>
          <w:szCs w:val="20"/>
        </w:rPr>
      </w:pPr>
      <w:r>
        <w:rPr>
          <w:noProof/>
        </w:rPr>
        <w:drawing>
          <wp:inline distT="0" distB="0" distL="0" distR="0" wp14:anchorId="6229C960" wp14:editId="5B9152B3">
            <wp:extent cx="5943600" cy="4245610"/>
            <wp:effectExtent l="0" t="0" r="0" b="0"/>
            <wp:docPr id="1296720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20408" name=""/>
                    <pic:cNvPicPr/>
                  </pic:nvPicPr>
                  <pic:blipFill>
                    <a:blip r:embed="rId9"/>
                    <a:stretch>
                      <a:fillRect/>
                    </a:stretch>
                  </pic:blipFill>
                  <pic:spPr>
                    <a:xfrm>
                      <a:off x="0" y="0"/>
                      <a:ext cx="5943600" cy="4245610"/>
                    </a:xfrm>
                    <a:prstGeom prst="rect">
                      <a:avLst/>
                    </a:prstGeom>
                  </pic:spPr>
                </pic:pic>
              </a:graphicData>
            </a:graphic>
          </wp:inline>
        </w:drawing>
      </w:r>
    </w:p>
    <w:p w14:paraId="777C2D3E"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Fig. 5. Plant growth due to the size of the cutting diameter, (A) plant height, (B) number of leaves, (C) canopy area. Plant shoots were pruned at 6 WAP to spur plant growth and maintained the selected lateral branch.</w:t>
      </w:r>
    </w:p>
    <w:p w14:paraId="71E09796"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lastRenderedPageBreak/>
        <w:t>The size of the stem cuttings at the time of planting did not affect the number of branches but the number of leaves and the total leaf area of the 11-year-old chaya plant did (Table 1). It is suspected that the size of stem cuttings affected the early growth, but after that the light was more influenced by the conditions of the root area. Therefore, the proper propagation technique was necessary to increase the production levels and plant quality in the shortest time (Cabahug, Nam, Lim, Jeon &amp; Hwang, 2018). Generally, the plant propagation can be done in various ways, but the chaya plant can only be propagated vegetatively since it does not produce seeds (Munguía-Rosas &amp; Jácome‐Flores, 2020).</w:t>
      </w:r>
    </w:p>
    <w:p w14:paraId="50243D44" w14:textId="77777777" w:rsidR="00CA246C" w:rsidRPr="00D54675" w:rsidRDefault="00CA246C" w:rsidP="00CA246C">
      <w:pPr>
        <w:rPr>
          <w:rFonts w:ascii="Times New Roman" w:hAnsi="Times New Roman" w:cs="Times New Roman"/>
          <w:sz w:val="20"/>
          <w:szCs w:val="20"/>
        </w:rPr>
      </w:pPr>
    </w:p>
    <w:p w14:paraId="28443A66" w14:textId="1610C338" w:rsidR="00CA246C" w:rsidRDefault="00CA246C" w:rsidP="00CA246C">
      <w:pPr>
        <w:rPr>
          <w:rFonts w:ascii="Times New Roman" w:hAnsi="Times New Roman" w:cs="Times New Roman"/>
          <w:sz w:val="20"/>
          <w:szCs w:val="20"/>
        </w:rPr>
      </w:pPr>
      <w:r>
        <w:rPr>
          <w:noProof/>
        </w:rPr>
        <w:drawing>
          <wp:inline distT="0" distB="0" distL="0" distR="0" wp14:anchorId="1C1E0680" wp14:editId="41A49EBF">
            <wp:extent cx="5943600" cy="4479925"/>
            <wp:effectExtent l="0" t="0" r="0" b="3175"/>
            <wp:docPr id="1862375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75943" name=""/>
                    <pic:cNvPicPr/>
                  </pic:nvPicPr>
                  <pic:blipFill>
                    <a:blip r:embed="rId10"/>
                    <a:stretch>
                      <a:fillRect/>
                    </a:stretch>
                  </pic:blipFill>
                  <pic:spPr>
                    <a:xfrm>
                      <a:off x="0" y="0"/>
                      <a:ext cx="5943600" cy="4479925"/>
                    </a:xfrm>
                    <a:prstGeom prst="rect">
                      <a:avLst/>
                    </a:prstGeom>
                  </pic:spPr>
                </pic:pic>
              </a:graphicData>
            </a:graphic>
          </wp:inline>
        </w:drawing>
      </w:r>
    </w:p>
    <w:p w14:paraId="5C8117F8" w14:textId="77777777" w:rsidR="00CA246C"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Fig. 6. Diameter of stem cutting did not affect edible and non-edible leaf (A) and stem (B) fresh weight and the ratio of edible part to total biomass (C), measured at 11 weeks after planting.</w:t>
      </w:r>
    </w:p>
    <w:p w14:paraId="5F8178C8" w14:textId="77777777" w:rsidR="00CA246C" w:rsidRDefault="00CA246C" w:rsidP="00CA246C">
      <w:pPr>
        <w:rPr>
          <w:rFonts w:ascii="Times New Roman" w:hAnsi="Times New Roman" w:cs="Times New Roman"/>
          <w:sz w:val="20"/>
          <w:szCs w:val="20"/>
        </w:rPr>
      </w:pPr>
    </w:p>
    <w:p w14:paraId="05037BE2" w14:textId="77777777" w:rsidR="00CA246C" w:rsidRPr="00D54675" w:rsidRDefault="00CA246C" w:rsidP="00CA246C">
      <w:pPr>
        <w:shd w:val="clear" w:color="auto" w:fill="FFFFFF"/>
        <w:spacing w:before="120" w:after="12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b/>
          <w:bCs/>
          <w:color w:val="000000" w:themeColor="text1"/>
          <w:sz w:val="20"/>
          <w:szCs w:val="20"/>
        </w:rPr>
        <w:t>Table 1</w:t>
      </w:r>
      <w:r w:rsidRPr="00D54675">
        <w:rPr>
          <w:rFonts w:ascii="Times New Roman" w:eastAsia="Times New Roman" w:hAnsi="Times New Roman" w:cs="Times New Roman"/>
          <w:color w:val="000000" w:themeColor="text1"/>
          <w:sz w:val="20"/>
          <w:szCs w:val="20"/>
        </w:rPr>
        <w:t xml:space="preserve">. Number of branches, number of leaves, and total leaf area as affected of stem cutting size at 11 weeks after planting. </w:t>
      </w:r>
    </w:p>
    <w:tbl>
      <w:tblPr>
        <w:tblW w:w="5000" w:type="pct"/>
        <w:tblLook w:val="04A0" w:firstRow="1" w:lastRow="0" w:firstColumn="1" w:lastColumn="0" w:noHBand="0" w:noVBand="1"/>
      </w:tblPr>
      <w:tblGrid>
        <w:gridCol w:w="2673"/>
        <w:gridCol w:w="1926"/>
        <w:gridCol w:w="352"/>
        <w:gridCol w:w="1694"/>
        <w:gridCol w:w="313"/>
        <w:gridCol w:w="2168"/>
        <w:gridCol w:w="234"/>
      </w:tblGrid>
      <w:tr w:rsidR="00CA246C" w:rsidRPr="00D54675" w14:paraId="2FFFDCC4" w14:textId="77777777" w:rsidTr="001F46FA">
        <w:trPr>
          <w:trHeight w:val="20"/>
        </w:trPr>
        <w:tc>
          <w:tcPr>
            <w:tcW w:w="1428" w:type="pct"/>
            <w:tcBorders>
              <w:top w:val="single" w:sz="4" w:space="0" w:color="auto"/>
              <w:bottom w:val="single" w:sz="4" w:space="0" w:color="auto"/>
            </w:tcBorders>
            <w:shd w:val="clear" w:color="000000" w:fill="FFFFFF"/>
            <w:vAlign w:val="center"/>
            <w:hideMark/>
          </w:tcPr>
          <w:p w14:paraId="71B43DCD" w14:textId="77777777" w:rsidR="00CA246C" w:rsidRPr="00D54675" w:rsidRDefault="00CA246C" w:rsidP="001F46FA">
            <w:pPr>
              <w:shd w:val="clear" w:color="auto" w:fill="FFFFFF"/>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Diameter of stem cutting</w:t>
            </w:r>
          </w:p>
        </w:tc>
        <w:tc>
          <w:tcPr>
            <w:tcW w:w="1217" w:type="pct"/>
            <w:gridSpan w:val="2"/>
            <w:tcBorders>
              <w:top w:val="single" w:sz="4" w:space="0" w:color="auto"/>
              <w:bottom w:val="single" w:sz="4" w:space="0" w:color="auto"/>
            </w:tcBorders>
            <w:shd w:val="clear" w:color="000000" w:fill="FFFFFF"/>
            <w:vAlign w:val="center"/>
            <w:hideMark/>
          </w:tcPr>
          <w:p w14:paraId="2AB3E439" w14:textId="77777777" w:rsidR="00CA246C" w:rsidRPr="00D54675" w:rsidRDefault="00CA246C" w:rsidP="001F46FA">
            <w:pPr>
              <w:shd w:val="clear" w:color="auto" w:fill="FFFFFF"/>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Number of branches</w:t>
            </w:r>
          </w:p>
        </w:tc>
        <w:tc>
          <w:tcPr>
            <w:tcW w:w="1072" w:type="pct"/>
            <w:gridSpan w:val="2"/>
            <w:tcBorders>
              <w:top w:val="single" w:sz="4" w:space="0" w:color="auto"/>
              <w:bottom w:val="single" w:sz="4" w:space="0" w:color="auto"/>
            </w:tcBorders>
            <w:shd w:val="clear" w:color="auto" w:fill="auto"/>
            <w:vAlign w:val="center"/>
            <w:hideMark/>
          </w:tcPr>
          <w:p w14:paraId="52473732" w14:textId="77777777" w:rsidR="00CA246C" w:rsidRPr="00D54675" w:rsidRDefault="00CA246C" w:rsidP="001F46FA">
            <w:pPr>
              <w:shd w:val="clear" w:color="auto" w:fill="FFFFFF"/>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Number of leaves</w:t>
            </w:r>
          </w:p>
        </w:tc>
        <w:tc>
          <w:tcPr>
            <w:tcW w:w="1283" w:type="pct"/>
            <w:gridSpan w:val="2"/>
            <w:tcBorders>
              <w:top w:val="single" w:sz="4" w:space="0" w:color="auto"/>
              <w:bottom w:val="single" w:sz="4" w:space="0" w:color="auto"/>
            </w:tcBorders>
            <w:shd w:val="clear" w:color="000000" w:fill="FFFFFF"/>
            <w:vAlign w:val="center"/>
            <w:hideMark/>
          </w:tcPr>
          <w:p w14:paraId="111D66DD" w14:textId="77777777" w:rsidR="00CA246C" w:rsidRPr="00D54675" w:rsidRDefault="00CA246C" w:rsidP="001F46FA">
            <w:pPr>
              <w:shd w:val="clear" w:color="auto" w:fill="FFFFFF"/>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Total Leaf area (cm²)</w:t>
            </w:r>
          </w:p>
        </w:tc>
      </w:tr>
      <w:tr w:rsidR="00CA246C" w:rsidRPr="00D54675" w14:paraId="1C0CFE05" w14:textId="77777777" w:rsidTr="001F46FA">
        <w:trPr>
          <w:trHeight w:val="20"/>
        </w:trPr>
        <w:tc>
          <w:tcPr>
            <w:tcW w:w="1428" w:type="pct"/>
            <w:tcBorders>
              <w:top w:val="single" w:sz="4" w:space="0" w:color="auto"/>
            </w:tcBorders>
            <w:shd w:val="clear" w:color="000000" w:fill="FFFFFF"/>
            <w:noWrap/>
            <w:vAlign w:val="bottom"/>
            <w:hideMark/>
          </w:tcPr>
          <w:p w14:paraId="05C512B0"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Small </w:t>
            </w:r>
          </w:p>
        </w:tc>
        <w:tc>
          <w:tcPr>
            <w:tcW w:w="1029" w:type="pct"/>
            <w:tcBorders>
              <w:top w:val="single" w:sz="4" w:space="0" w:color="auto"/>
            </w:tcBorders>
            <w:shd w:val="clear" w:color="000000" w:fill="FFFFFF"/>
            <w:noWrap/>
            <w:tcMar>
              <w:left w:w="0" w:type="dxa"/>
              <w:right w:w="0" w:type="dxa"/>
            </w:tcMar>
            <w:vAlign w:val="bottom"/>
            <w:hideMark/>
          </w:tcPr>
          <w:p w14:paraId="746AA85A"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1.83 </w:t>
            </w:r>
          </w:p>
        </w:tc>
        <w:tc>
          <w:tcPr>
            <w:tcW w:w="188" w:type="pct"/>
            <w:tcBorders>
              <w:top w:val="single" w:sz="4" w:space="0" w:color="auto"/>
            </w:tcBorders>
            <w:shd w:val="clear" w:color="000000" w:fill="FFFFFF"/>
            <w:noWrap/>
            <w:tcMar>
              <w:left w:w="0" w:type="dxa"/>
              <w:right w:w="0" w:type="dxa"/>
            </w:tcMar>
            <w:vAlign w:val="bottom"/>
            <w:hideMark/>
          </w:tcPr>
          <w:p w14:paraId="3AC96A4C"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a</w:t>
            </w:r>
          </w:p>
        </w:tc>
        <w:tc>
          <w:tcPr>
            <w:tcW w:w="905" w:type="pct"/>
            <w:tcBorders>
              <w:top w:val="single" w:sz="4" w:space="0" w:color="auto"/>
            </w:tcBorders>
            <w:shd w:val="clear" w:color="auto" w:fill="auto"/>
            <w:noWrap/>
            <w:tcMar>
              <w:left w:w="0" w:type="dxa"/>
              <w:right w:w="0" w:type="dxa"/>
            </w:tcMar>
            <w:vAlign w:val="bottom"/>
            <w:hideMark/>
          </w:tcPr>
          <w:p w14:paraId="5BFFCB23"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16.39 </w:t>
            </w:r>
          </w:p>
        </w:tc>
        <w:tc>
          <w:tcPr>
            <w:tcW w:w="167" w:type="pct"/>
            <w:tcBorders>
              <w:top w:val="single" w:sz="4" w:space="0" w:color="auto"/>
            </w:tcBorders>
            <w:shd w:val="clear" w:color="auto" w:fill="auto"/>
            <w:noWrap/>
            <w:tcMar>
              <w:left w:w="0" w:type="dxa"/>
              <w:right w:w="0" w:type="dxa"/>
            </w:tcMar>
            <w:vAlign w:val="bottom"/>
            <w:hideMark/>
          </w:tcPr>
          <w:p w14:paraId="7F20DC45"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a</w:t>
            </w:r>
          </w:p>
        </w:tc>
        <w:tc>
          <w:tcPr>
            <w:tcW w:w="1158" w:type="pct"/>
            <w:tcBorders>
              <w:top w:val="single" w:sz="4" w:space="0" w:color="auto"/>
            </w:tcBorders>
            <w:shd w:val="clear" w:color="000000" w:fill="FFFFFF"/>
            <w:noWrap/>
            <w:tcMar>
              <w:left w:w="0" w:type="dxa"/>
              <w:right w:w="0" w:type="dxa"/>
            </w:tcMar>
            <w:vAlign w:val="bottom"/>
            <w:hideMark/>
          </w:tcPr>
          <w:p w14:paraId="2AAF4C1D"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1,758.97 </w:t>
            </w:r>
          </w:p>
        </w:tc>
        <w:tc>
          <w:tcPr>
            <w:tcW w:w="125" w:type="pct"/>
            <w:tcBorders>
              <w:top w:val="single" w:sz="4" w:space="0" w:color="auto"/>
            </w:tcBorders>
            <w:shd w:val="clear" w:color="000000" w:fill="FFFFFF"/>
            <w:noWrap/>
            <w:tcMar>
              <w:left w:w="0" w:type="dxa"/>
              <w:right w:w="0" w:type="dxa"/>
            </w:tcMar>
            <w:vAlign w:val="bottom"/>
            <w:hideMark/>
          </w:tcPr>
          <w:p w14:paraId="2207B08E"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a</w:t>
            </w:r>
          </w:p>
        </w:tc>
      </w:tr>
      <w:tr w:rsidR="00CA246C" w:rsidRPr="00D54675" w14:paraId="34DF346A" w14:textId="77777777" w:rsidTr="001F46FA">
        <w:trPr>
          <w:trHeight w:val="20"/>
        </w:trPr>
        <w:tc>
          <w:tcPr>
            <w:tcW w:w="1428" w:type="pct"/>
            <w:shd w:val="clear" w:color="000000" w:fill="FFFFFF"/>
            <w:noWrap/>
            <w:vAlign w:val="bottom"/>
            <w:hideMark/>
          </w:tcPr>
          <w:p w14:paraId="3979D5C4"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Medium </w:t>
            </w:r>
          </w:p>
        </w:tc>
        <w:tc>
          <w:tcPr>
            <w:tcW w:w="1029" w:type="pct"/>
            <w:shd w:val="clear" w:color="000000" w:fill="FFFFFF"/>
            <w:noWrap/>
            <w:tcMar>
              <w:left w:w="0" w:type="dxa"/>
              <w:right w:w="0" w:type="dxa"/>
            </w:tcMar>
            <w:vAlign w:val="bottom"/>
            <w:hideMark/>
          </w:tcPr>
          <w:p w14:paraId="120A92C7"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2.89 </w:t>
            </w:r>
          </w:p>
        </w:tc>
        <w:tc>
          <w:tcPr>
            <w:tcW w:w="188" w:type="pct"/>
            <w:shd w:val="clear" w:color="000000" w:fill="FFFFFF"/>
            <w:noWrap/>
            <w:tcMar>
              <w:left w:w="0" w:type="dxa"/>
              <w:right w:w="0" w:type="dxa"/>
            </w:tcMar>
            <w:vAlign w:val="bottom"/>
            <w:hideMark/>
          </w:tcPr>
          <w:p w14:paraId="3AAD9637"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a</w:t>
            </w:r>
          </w:p>
        </w:tc>
        <w:tc>
          <w:tcPr>
            <w:tcW w:w="905" w:type="pct"/>
            <w:shd w:val="clear" w:color="auto" w:fill="auto"/>
            <w:noWrap/>
            <w:tcMar>
              <w:left w:w="0" w:type="dxa"/>
              <w:right w:w="0" w:type="dxa"/>
            </w:tcMar>
            <w:vAlign w:val="bottom"/>
            <w:hideMark/>
          </w:tcPr>
          <w:p w14:paraId="30687F1E"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19.83 </w:t>
            </w:r>
          </w:p>
        </w:tc>
        <w:tc>
          <w:tcPr>
            <w:tcW w:w="167" w:type="pct"/>
            <w:shd w:val="clear" w:color="auto" w:fill="auto"/>
            <w:noWrap/>
            <w:tcMar>
              <w:left w:w="0" w:type="dxa"/>
              <w:right w:w="0" w:type="dxa"/>
            </w:tcMar>
            <w:vAlign w:val="bottom"/>
            <w:hideMark/>
          </w:tcPr>
          <w:p w14:paraId="33E17226"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ab</w:t>
            </w:r>
          </w:p>
        </w:tc>
        <w:tc>
          <w:tcPr>
            <w:tcW w:w="1158" w:type="pct"/>
            <w:shd w:val="clear" w:color="000000" w:fill="FFFFFF"/>
            <w:noWrap/>
            <w:tcMar>
              <w:left w:w="0" w:type="dxa"/>
              <w:right w:w="0" w:type="dxa"/>
            </w:tcMar>
            <w:vAlign w:val="bottom"/>
            <w:hideMark/>
          </w:tcPr>
          <w:p w14:paraId="6AE4E3E2"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2,064.91 </w:t>
            </w:r>
          </w:p>
        </w:tc>
        <w:tc>
          <w:tcPr>
            <w:tcW w:w="125" w:type="pct"/>
            <w:shd w:val="clear" w:color="000000" w:fill="FFFFFF"/>
            <w:noWrap/>
            <w:tcMar>
              <w:left w:w="0" w:type="dxa"/>
              <w:right w:w="0" w:type="dxa"/>
            </w:tcMar>
            <w:vAlign w:val="bottom"/>
            <w:hideMark/>
          </w:tcPr>
          <w:p w14:paraId="6A074B43"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b</w:t>
            </w:r>
          </w:p>
        </w:tc>
      </w:tr>
      <w:tr w:rsidR="00CA246C" w:rsidRPr="00D54675" w14:paraId="6CE96CC2" w14:textId="77777777" w:rsidTr="001F46FA">
        <w:trPr>
          <w:trHeight w:val="20"/>
        </w:trPr>
        <w:tc>
          <w:tcPr>
            <w:tcW w:w="1428" w:type="pct"/>
            <w:shd w:val="clear" w:color="000000" w:fill="FFFFFF"/>
            <w:noWrap/>
            <w:vAlign w:val="bottom"/>
            <w:hideMark/>
          </w:tcPr>
          <w:p w14:paraId="71EA8FA3"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Large </w:t>
            </w:r>
          </w:p>
        </w:tc>
        <w:tc>
          <w:tcPr>
            <w:tcW w:w="1029" w:type="pct"/>
            <w:shd w:val="clear" w:color="000000" w:fill="FFFFFF"/>
            <w:noWrap/>
            <w:tcMar>
              <w:left w:w="0" w:type="dxa"/>
              <w:right w:w="0" w:type="dxa"/>
            </w:tcMar>
            <w:vAlign w:val="bottom"/>
            <w:hideMark/>
          </w:tcPr>
          <w:p w14:paraId="4E9544D8"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2.67 </w:t>
            </w:r>
          </w:p>
        </w:tc>
        <w:tc>
          <w:tcPr>
            <w:tcW w:w="188" w:type="pct"/>
            <w:shd w:val="clear" w:color="000000" w:fill="FFFFFF"/>
            <w:noWrap/>
            <w:tcMar>
              <w:left w:w="0" w:type="dxa"/>
              <w:right w:w="0" w:type="dxa"/>
            </w:tcMar>
            <w:vAlign w:val="bottom"/>
            <w:hideMark/>
          </w:tcPr>
          <w:p w14:paraId="4F7EEA36"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a</w:t>
            </w:r>
          </w:p>
        </w:tc>
        <w:tc>
          <w:tcPr>
            <w:tcW w:w="905" w:type="pct"/>
            <w:shd w:val="clear" w:color="auto" w:fill="auto"/>
            <w:noWrap/>
            <w:tcMar>
              <w:left w:w="0" w:type="dxa"/>
              <w:right w:w="0" w:type="dxa"/>
            </w:tcMar>
            <w:vAlign w:val="bottom"/>
            <w:hideMark/>
          </w:tcPr>
          <w:p w14:paraId="52EBE7FE"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21.11 </w:t>
            </w:r>
          </w:p>
        </w:tc>
        <w:tc>
          <w:tcPr>
            <w:tcW w:w="167" w:type="pct"/>
            <w:shd w:val="clear" w:color="auto" w:fill="auto"/>
            <w:noWrap/>
            <w:tcMar>
              <w:left w:w="0" w:type="dxa"/>
              <w:right w:w="0" w:type="dxa"/>
            </w:tcMar>
            <w:vAlign w:val="bottom"/>
            <w:hideMark/>
          </w:tcPr>
          <w:p w14:paraId="3F2FD4F7"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b</w:t>
            </w:r>
          </w:p>
        </w:tc>
        <w:tc>
          <w:tcPr>
            <w:tcW w:w="1158" w:type="pct"/>
            <w:shd w:val="clear" w:color="000000" w:fill="FFFFFF"/>
            <w:noWrap/>
            <w:tcMar>
              <w:left w:w="0" w:type="dxa"/>
              <w:right w:w="0" w:type="dxa"/>
            </w:tcMar>
            <w:vAlign w:val="bottom"/>
            <w:hideMark/>
          </w:tcPr>
          <w:p w14:paraId="2909CB78"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2,104.98 </w:t>
            </w:r>
          </w:p>
        </w:tc>
        <w:tc>
          <w:tcPr>
            <w:tcW w:w="125" w:type="pct"/>
            <w:shd w:val="clear" w:color="000000" w:fill="FFFFFF"/>
            <w:noWrap/>
            <w:tcMar>
              <w:left w:w="0" w:type="dxa"/>
              <w:right w:w="0" w:type="dxa"/>
            </w:tcMar>
            <w:vAlign w:val="bottom"/>
            <w:hideMark/>
          </w:tcPr>
          <w:p w14:paraId="77CF75DC"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b</w:t>
            </w:r>
          </w:p>
        </w:tc>
      </w:tr>
      <w:tr w:rsidR="00CA246C" w:rsidRPr="00D54675" w14:paraId="47D34A9D" w14:textId="77777777" w:rsidTr="001F46FA">
        <w:trPr>
          <w:trHeight w:val="20"/>
        </w:trPr>
        <w:tc>
          <w:tcPr>
            <w:tcW w:w="1428" w:type="pct"/>
            <w:tcBorders>
              <w:bottom w:val="single" w:sz="4" w:space="0" w:color="auto"/>
            </w:tcBorders>
            <w:shd w:val="clear" w:color="000000" w:fill="FFFFFF"/>
            <w:noWrap/>
            <w:vAlign w:val="bottom"/>
            <w:hideMark/>
          </w:tcPr>
          <w:p w14:paraId="51FE47C9"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LSD (0.05)</w:t>
            </w:r>
          </w:p>
        </w:tc>
        <w:tc>
          <w:tcPr>
            <w:tcW w:w="1029" w:type="pct"/>
            <w:tcBorders>
              <w:bottom w:val="single" w:sz="4" w:space="0" w:color="auto"/>
            </w:tcBorders>
            <w:shd w:val="clear" w:color="auto" w:fill="auto"/>
            <w:noWrap/>
            <w:tcMar>
              <w:left w:w="0" w:type="dxa"/>
              <w:right w:w="0" w:type="dxa"/>
            </w:tcMar>
            <w:vAlign w:val="bottom"/>
            <w:hideMark/>
          </w:tcPr>
          <w:p w14:paraId="2314C6DC" w14:textId="77777777" w:rsidR="00CA246C" w:rsidRPr="00D54675" w:rsidRDefault="00CA246C" w:rsidP="001F46FA">
            <w:pPr>
              <w:shd w:val="clear" w:color="auto" w:fill="FFFFFF"/>
              <w:spacing w:after="0" w:line="240" w:lineRule="auto"/>
              <w:ind w:right="55"/>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1.44 </w:t>
            </w:r>
          </w:p>
        </w:tc>
        <w:tc>
          <w:tcPr>
            <w:tcW w:w="188" w:type="pct"/>
            <w:tcBorders>
              <w:bottom w:val="single" w:sz="4" w:space="0" w:color="auto"/>
            </w:tcBorders>
            <w:shd w:val="clear" w:color="000000" w:fill="FFFFFF"/>
            <w:noWrap/>
            <w:tcMar>
              <w:left w:w="0" w:type="dxa"/>
              <w:right w:w="0" w:type="dxa"/>
            </w:tcMar>
            <w:vAlign w:val="bottom"/>
            <w:hideMark/>
          </w:tcPr>
          <w:p w14:paraId="6F1D9B6B"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w:t>
            </w:r>
          </w:p>
        </w:tc>
        <w:tc>
          <w:tcPr>
            <w:tcW w:w="905" w:type="pct"/>
            <w:tcBorders>
              <w:bottom w:val="single" w:sz="4" w:space="0" w:color="auto"/>
            </w:tcBorders>
            <w:shd w:val="clear" w:color="auto" w:fill="auto"/>
            <w:noWrap/>
            <w:tcMar>
              <w:left w:w="0" w:type="dxa"/>
              <w:right w:w="0" w:type="dxa"/>
            </w:tcMar>
            <w:vAlign w:val="bottom"/>
            <w:hideMark/>
          </w:tcPr>
          <w:p w14:paraId="5DE04C3C"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3.60 </w:t>
            </w:r>
          </w:p>
        </w:tc>
        <w:tc>
          <w:tcPr>
            <w:tcW w:w="167" w:type="pct"/>
            <w:tcBorders>
              <w:bottom w:val="single" w:sz="4" w:space="0" w:color="auto"/>
            </w:tcBorders>
            <w:shd w:val="clear" w:color="auto" w:fill="auto"/>
            <w:noWrap/>
            <w:tcMar>
              <w:left w:w="0" w:type="dxa"/>
              <w:right w:w="0" w:type="dxa"/>
            </w:tcMar>
            <w:vAlign w:val="bottom"/>
            <w:hideMark/>
          </w:tcPr>
          <w:p w14:paraId="00D97716"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w:t>
            </w:r>
          </w:p>
        </w:tc>
        <w:tc>
          <w:tcPr>
            <w:tcW w:w="1158" w:type="pct"/>
            <w:tcBorders>
              <w:bottom w:val="single" w:sz="4" w:space="0" w:color="auto"/>
            </w:tcBorders>
            <w:shd w:val="clear" w:color="auto" w:fill="auto"/>
            <w:noWrap/>
            <w:tcMar>
              <w:left w:w="0" w:type="dxa"/>
              <w:right w:w="0" w:type="dxa"/>
            </w:tcMar>
            <w:vAlign w:val="bottom"/>
            <w:hideMark/>
          </w:tcPr>
          <w:p w14:paraId="31BA3FF0" w14:textId="77777777" w:rsidR="00CA246C" w:rsidRPr="00D54675" w:rsidRDefault="00CA246C" w:rsidP="001F46FA">
            <w:pPr>
              <w:shd w:val="clear" w:color="auto" w:fill="FFFFFF"/>
              <w:spacing w:after="0" w:line="240" w:lineRule="auto"/>
              <w:ind w:right="90"/>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299.72 </w:t>
            </w:r>
          </w:p>
        </w:tc>
        <w:tc>
          <w:tcPr>
            <w:tcW w:w="125" w:type="pct"/>
            <w:tcBorders>
              <w:bottom w:val="single" w:sz="4" w:space="0" w:color="auto"/>
            </w:tcBorders>
            <w:shd w:val="clear" w:color="000000" w:fill="FFFFFF"/>
            <w:noWrap/>
            <w:tcMar>
              <w:left w:w="0" w:type="dxa"/>
              <w:right w:w="0" w:type="dxa"/>
            </w:tcMar>
            <w:vAlign w:val="bottom"/>
            <w:hideMark/>
          </w:tcPr>
          <w:p w14:paraId="5133B5D3" w14:textId="77777777" w:rsidR="00CA246C" w:rsidRPr="00D54675" w:rsidRDefault="00CA246C" w:rsidP="001F46FA">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w:t>
            </w:r>
          </w:p>
        </w:tc>
      </w:tr>
    </w:tbl>
    <w:p w14:paraId="0FE23ADC" w14:textId="77777777" w:rsidR="00CA246C" w:rsidRDefault="00CA246C" w:rsidP="00CA246C">
      <w:pPr>
        <w:spacing w:after="0" w:line="240" w:lineRule="auto"/>
        <w:jc w:val="both"/>
        <w:rPr>
          <w:rFonts w:ascii="Times New Roman" w:eastAsia="Times New Roman" w:hAnsi="Times New Roman" w:cs="Times New Roman"/>
          <w:bCs/>
          <w:sz w:val="20"/>
          <w:szCs w:val="20"/>
        </w:rPr>
      </w:pPr>
      <w:r w:rsidRPr="00D54675">
        <w:rPr>
          <w:rFonts w:ascii="Times New Roman" w:eastAsia="Times New Roman" w:hAnsi="Times New Roman" w:cs="Times New Roman"/>
          <w:bCs/>
          <w:color w:val="000000" w:themeColor="text1"/>
          <w:sz w:val="20"/>
          <w:szCs w:val="20"/>
        </w:rPr>
        <w:t xml:space="preserve">Remarks: Means with different alphabet was significantly different </w:t>
      </w:r>
      <w:r w:rsidRPr="00D54675">
        <w:rPr>
          <w:rFonts w:ascii="Times New Roman" w:eastAsia="Times New Roman" w:hAnsi="Times New Roman" w:cs="Times New Roman"/>
          <w:bCs/>
          <w:sz w:val="20"/>
          <w:szCs w:val="20"/>
        </w:rPr>
        <w:t>at LSD 0.05</w:t>
      </w:r>
    </w:p>
    <w:p w14:paraId="77D731BE" w14:textId="77777777" w:rsidR="00CA246C" w:rsidRPr="00D54675" w:rsidRDefault="00CA246C" w:rsidP="00CA246C">
      <w:pPr>
        <w:spacing w:after="0" w:line="240" w:lineRule="auto"/>
        <w:jc w:val="both"/>
        <w:rPr>
          <w:rFonts w:ascii="Times New Roman" w:eastAsia="Times New Roman" w:hAnsi="Times New Roman" w:cs="Times New Roman"/>
          <w:bCs/>
          <w:sz w:val="20"/>
          <w:szCs w:val="20"/>
        </w:rPr>
      </w:pPr>
    </w:p>
    <w:p w14:paraId="159C4CBF" w14:textId="77777777" w:rsidR="00CA246C" w:rsidRPr="00D54675" w:rsidRDefault="00CA246C" w:rsidP="00CA246C">
      <w:pPr>
        <w:spacing w:after="0" w:line="240" w:lineRule="auto"/>
        <w:ind w:firstLine="567"/>
        <w:jc w:val="both"/>
        <w:rPr>
          <w:rFonts w:ascii="Times New Roman" w:eastAsia="Times New Roman" w:hAnsi="Times New Roman" w:cs="Times New Roman"/>
          <w:sz w:val="20"/>
          <w:szCs w:val="20"/>
        </w:rPr>
      </w:pPr>
    </w:p>
    <w:p w14:paraId="283905A4" w14:textId="77777777" w:rsidR="00CA246C" w:rsidRPr="00D54675" w:rsidRDefault="00CA246C" w:rsidP="00CA246C">
      <w:pPr>
        <w:spacing w:after="120" w:line="240" w:lineRule="auto"/>
        <w:jc w:val="both"/>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Table 2</w:t>
      </w:r>
      <w:r w:rsidRPr="00D54675">
        <w:rPr>
          <w:rFonts w:ascii="Times New Roman" w:eastAsia="Times New Roman" w:hAnsi="Times New Roman" w:cs="Times New Roman"/>
          <w:color w:val="000000" w:themeColor="text1"/>
          <w:sz w:val="20"/>
          <w:szCs w:val="20"/>
        </w:rPr>
        <w:t>. Effects of stem cutting diameter on fresh and dry weight of edible and non-edible parts of the Chaya plants measured at 11 weeks after planting</w:t>
      </w:r>
    </w:p>
    <w:tbl>
      <w:tblPr>
        <w:tblW w:w="0" w:type="auto"/>
        <w:tblCellMar>
          <w:left w:w="0" w:type="dxa"/>
          <w:right w:w="0" w:type="dxa"/>
        </w:tblCellMar>
        <w:tblLook w:val="04A0" w:firstRow="1" w:lastRow="0" w:firstColumn="1" w:lastColumn="0" w:noHBand="0" w:noVBand="1"/>
      </w:tblPr>
      <w:tblGrid>
        <w:gridCol w:w="992"/>
        <w:gridCol w:w="656"/>
        <w:gridCol w:w="219"/>
        <w:gridCol w:w="685"/>
        <w:gridCol w:w="212"/>
        <w:gridCol w:w="603"/>
        <w:gridCol w:w="239"/>
        <w:gridCol w:w="660"/>
        <w:gridCol w:w="229"/>
        <w:gridCol w:w="540"/>
        <w:gridCol w:w="173"/>
        <w:gridCol w:w="658"/>
        <w:gridCol w:w="181"/>
        <w:gridCol w:w="602"/>
        <w:gridCol w:w="299"/>
        <w:gridCol w:w="662"/>
        <w:gridCol w:w="184"/>
        <w:gridCol w:w="679"/>
        <w:gridCol w:w="237"/>
        <w:gridCol w:w="543"/>
        <w:gridCol w:w="107"/>
      </w:tblGrid>
      <w:tr w:rsidR="00CA246C" w:rsidRPr="00D54675" w14:paraId="5A20D729" w14:textId="77777777" w:rsidTr="001F46FA">
        <w:trPr>
          <w:trHeight w:val="20"/>
        </w:trPr>
        <w:tc>
          <w:tcPr>
            <w:tcW w:w="0" w:type="auto"/>
            <w:vMerge w:val="restart"/>
            <w:tcBorders>
              <w:top w:val="single" w:sz="4" w:space="0" w:color="auto"/>
              <w:bottom w:val="single" w:sz="4" w:space="0" w:color="auto"/>
            </w:tcBorders>
            <w:shd w:val="clear" w:color="000000" w:fill="FFFFFF"/>
            <w:tcMar>
              <w:left w:w="0" w:type="dxa"/>
              <w:right w:w="0" w:type="dxa"/>
            </w:tcMar>
            <w:vAlign w:val="center"/>
          </w:tcPr>
          <w:p w14:paraId="2E9A3EA5"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Diameter</w:t>
            </w:r>
          </w:p>
          <w:p w14:paraId="6E620027"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stem cutting</w:t>
            </w:r>
          </w:p>
        </w:tc>
        <w:tc>
          <w:tcPr>
            <w:tcW w:w="0" w:type="auto"/>
            <w:gridSpan w:val="10"/>
            <w:tcBorders>
              <w:top w:val="single" w:sz="4" w:space="0" w:color="auto"/>
              <w:bottom w:val="single" w:sz="4" w:space="0" w:color="auto"/>
              <w:right w:val="single" w:sz="4" w:space="0" w:color="auto"/>
            </w:tcBorders>
            <w:shd w:val="clear" w:color="000000" w:fill="FFFFFF"/>
            <w:tcMar>
              <w:left w:w="14" w:type="dxa"/>
              <w:right w:w="14" w:type="dxa"/>
            </w:tcMar>
            <w:vAlign w:val="center"/>
          </w:tcPr>
          <w:p w14:paraId="40ACCB8F" w14:textId="77777777" w:rsidR="00CA246C" w:rsidRPr="00D54675" w:rsidRDefault="00CA246C" w:rsidP="001F46FA">
            <w:pPr>
              <w:spacing w:after="0" w:line="240" w:lineRule="auto"/>
              <w:ind w:right="526"/>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Edible part</w:t>
            </w:r>
          </w:p>
        </w:tc>
        <w:tc>
          <w:tcPr>
            <w:tcW w:w="0" w:type="auto"/>
            <w:gridSpan w:val="10"/>
            <w:tcBorders>
              <w:top w:val="single" w:sz="4" w:space="0" w:color="auto"/>
              <w:left w:val="single" w:sz="4" w:space="0" w:color="auto"/>
              <w:bottom w:val="single" w:sz="4" w:space="0" w:color="auto"/>
            </w:tcBorders>
            <w:shd w:val="clear" w:color="000000" w:fill="FFFFFF"/>
            <w:vAlign w:val="center"/>
          </w:tcPr>
          <w:p w14:paraId="4009FC4C"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Non-edible part</w:t>
            </w:r>
          </w:p>
        </w:tc>
      </w:tr>
      <w:tr w:rsidR="00CA246C" w:rsidRPr="00D54675" w14:paraId="71B80BCF" w14:textId="77777777" w:rsidTr="001F46FA">
        <w:trPr>
          <w:trHeight w:val="20"/>
        </w:trPr>
        <w:tc>
          <w:tcPr>
            <w:tcW w:w="0" w:type="auto"/>
            <w:vMerge/>
            <w:tcBorders>
              <w:top w:val="single" w:sz="4" w:space="0" w:color="auto"/>
              <w:bottom w:val="single" w:sz="4" w:space="0" w:color="auto"/>
            </w:tcBorders>
            <w:shd w:val="clear" w:color="000000" w:fill="FFFFFF"/>
            <w:tcMar>
              <w:left w:w="0" w:type="dxa"/>
              <w:right w:w="0" w:type="dxa"/>
            </w:tcMar>
            <w:vAlign w:val="center"/>
          </w:tcPr>
          <w:p w14:paraId="38EB1AC9"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p>
        </w:tc>
        <w:tc>
          <w:tcPr>
            <w:tcW w:w="0" w:type="auto"/>
            <w:gridSpan w:val="2"/>
            <w:tcBorders>
              <w:top w:val="single" w:sz="4" w:space="0" w:color="auto"/>
              <w:bottom w:val="single" w:sz="4" w:space="0" w:color="auto"/>
            </w:tcBorders>
            <w:shd w:val="clear" w:color="000000" w:fill="FFFFFF"/>
            <w:tcMar>
              <w:left w:w="14" w:type="dxa"/>
              <w:right w:w="14" w:type="dxa"/>
            </w:tcMar>
            <w:vAlign w:val="center"/>
          </w:tcPr>
          <w:p w14:paraId="2E6F5129"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Leaf FW (g)</w:t>
            </w:r>
          </w:p>
        </w:tc>
        <w:tc>
          <w:tcPr>
            <w:tcW w:w="0" w:type="auto"/>
            <w:gridSpan w:val="2"/>
            <w:tcBorders>
              <w:top w:val="single" w:sz="4" w:space="0" w:color="auto"/>
              <w:bottom w:val="single" w:sz="4" w:space="0" w:color="auto"/>
            </w:tcBorders>
            <w:shd w:val="clear" w:color="000000" w:fill="FFFFFF"/>
            <w:tcMar>
              <w:left w:w="14" w:type="dxa"/>
              <w:right w:w="14" w:type="dxa"/>
            </w:tcMar>
            <w:vAlign w:val="center"/>
          </w:tcPr>
          <w:p w14:paraId="7F8957F3"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Stem FW (g)</w:t>
            </w:r>
          </w:p>
        </w:tc>
        <w:tc>
          <w:tcPr>
            <w:tcW w:w="0" w:type="auto"/>
            <w:gridSpan w:val="2"/>
            <w:tcBorders>
              <w:top w:val="single" w:sz="4" w:space="0" w:color="auto"/>
              <w:bottom w:val="single" w:sz="4" w:space="0" w:color="auto"/>
            </w:tcBorders>
            <w:shd w:val="clear" w:color="000000" w:fill="FFFFFF"/>
            <w:tcMar>
              <w:left w:w="14" w:type="dxa"/>
              <w:right w:w="14" w:type="dxa"/>
            </w:tcMar>
            <w:vAlign w:val="center"/>
          </w:tcPr>
          <w:p w14:paraId="52FFFF1C"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Leaf DW (g)</w:t>
            </w:r>
          </w:p>
        </w:tc>
        <w:tc>
          <w:tcPr>
            <w:tcW w:w="0" w:type="auto"/>
            <w:gridSpan w:val="2"/>
            <w:tcBorders>
              <w:top w:val="single" w:sz="4" w:space="0" w:color="auto"/>
              <w:bottom w:val="single" w:sz="4" w:space="0" w:color="auto"/>
            </w:tcBorders>
            <w:shd w:val="clear" w:color="000000" w:fill="FFFFFF"/>
            <w:tcMar>
              <w:left w:w="14" w:type="dxa"/>
              <w:right w:w="14" w:type="dxa"/>
            </w:tcMar>
            <w:vAlign w:val="center"/>
          </w:tcPr>
          <w:p w14:paraId="41EABC80"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Stem DW (g)</w:t>
            </w:r>
          </w:p>
        </w:tc>
        <w:tc>
          <w:tcPr>
            <w:tcW w:w="0" w:type="auto"/>
            <w:gridSpan w:val="2"/>
            <w:tcBorders>
              <w:top w:val="single" w:sz="4" w:space="0" w:color="auto"/>
              <w:bottom w:val="single" w:sz="4" w:space="0" w:color="auto"/>
              <w:right w:val="single" w:sz="4" w:space="0" w:color="auto"/>
            </w:tcBorders>
            <w:shd w:val="clear" w:color="000000" w:fill="FFFFFF"/>
            <w:tcMar>
              <w:left w:w="14" w:type="dxa"/>
              <w:right w:w="14" w:type="dxa"/>
            </w:tcMar>
            <w:vAlign w:val="center"/>
          </w:tcPr>
          <w:p w14:paraId="654E407B" w14:textId="77777777" w:rsidR="00CA246C" w:rsidRPr="00D54675" w:rsidRDefault="00CA246C" w:rsidP="001F46FA">
            <w:pPr>
              <w:spacing w:after="0" w:line="240" w:lineRule="auto"/>
              <w:ind w:right="40"/>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WC (%)</w:t>
            </w:r>
          </w:p>
        </w:tc>
        <w:tc>
          <w:tcPr>
            <w:tcW w:w="0" w:type="auto"/>
            <w:gridSpan w:val="2"/>
            <w:tcBorders>
              <w:top w:val="single" w:sz="4" w:space="0" w:color="auto"/>
              <w:left w:val="single" w:sz="4" w:space="0" w:color="auto"/>
              <w:bottom w:val="single" w:sz="4" w:space="0" w:color="auto"/>
            </w:tcBorders>
            <w:shd w:val="clear" w:color="000000" w:fill="FFFFFF"/>
            <w:vAlign w:val="center"/>
          </w:tcPr>
          <w:p w14:paraId="060CA18D"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Leaf FW (g)</w:t>
            </w:r>
          </w:p>
        </w:tc>
        <w:tc>
          <w:tcPr>
            <w:tcW w:w="0" w:type="auto"/>
            <w:gridSpan w:val="2"/>
            <w:tcBorders>
              <w:top w:val="single" w:sz="4" w:space="0" w:color="auto"/>
              <w:bottom w:val="single" w:sz="4" w:space="0" w:color="auto"/>
            </w:tcBorders>
            <w:shd w:val="clear" w:color="000000" w:fill="FFFFFF"/>
            <w:vAlign w:val="center"/>
          </w:tcPr>
          <w:p w14:paraId="2D9E6328"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Stem FW (g)</w:t>
            </w:r>
          </w:p>
        </w:tc>
        <w:tc>
          <w:tcPr>
            <w:tcW w:w="0" w:type="auto"/>
            <w:gridSpan w:val="2"/>
            <w:tcBorders>
              <w:top w:val="single" w:sz="4" w:space="0" w:color="auto"/>
              <w:bottom w:val="single" w:sz="4" w:space="0" w:color="auto"/>
            </w:tcBorders>
            <w:shd w:val="clear" w:color="000000" w:fill="FFFFFF"/>
            <w:vAlign w:val="center"/>
          </w:tcPr>
          <w:p w14:paraId="304ED391"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Leaf DW (g)</w:t>
            </w:r>
          </w:p>
        </w:tc>
        <w:tc>
          <w:tcPr>
            <w:tcW w:w="0" w:type="auto"/>
            <w:gridSpan w:val="2"/>
            <w:tcBorders>
              <w:top w:val="single" w:sz="4" w:space="0" w:color="auto"/>
              <w:bottom w:val="single" w:sz="4" w:space="0" w:color="auto"/>
            </w:tcBorders>
            <w:shd w:val="clear" w:color="000000" w:fill="FFFFFF"/>
            <w:vAlign w:val="center"/>
          </w:tcPr>
          <w:p w14:paraId="5B1739F1" w14:textId="77777777" w:rsidR="00CA246C" w:rsidRPr="00D54675" w:rsidRDefault="00CA246C" w:rsidP="001F46FA">
            <w:pPr>
              <w:spacing w:after="0" w:line="240" w:lineRule="auto"/>
              <w:ind w:left="2" w:right="86" w:hanging="2"/>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Stem DW (g)</w:t>
            </w:r>
          </w:p>
        </w:tc>
        <w:tc>
          <w:tcPr>
            <w:tcW w:w="0" w:type="auto"/>
            <w:gridSpan w:val="2"/>
            <w:tcBorders>
              <w:top w:val="single" w:sz="4" w:space="0" w:color="auto"/>
              <w:bottom w:val="single" w:sz="4" w:space="0" w:color="auto"/>
            </w:tcBorders>
            <w:shd w:val="clear" w:color="000000" w:fill="FFFFFF"/>
            <w:vAlign w:val="center"/>
          </w:tcPr>
          <w:p w14:paraId="2516AB58" w14:textId="77777777" w:rsidR="00CA246C" w:rsidRPr="00D54675" w:rsidRDefault="00CA246C" w:rsidP="001F46FA">
            <w:pPr>
              <w:spacing w:after="0" w:line="240" w:lineRule="auto"/>
              <w:jc w:val="center"/>
              <w:rPr>
                <w:rFonts w:ascii="Times New Roman" w:eastAsia="Times New Roman" w:hAnsi="Times New Roman" w:cs="Times New Roman"/>
                <w:b/>
                <w:bCs/>
                <w:color w:val="000000" w:themeColor="text1"/>
                <w:sz w:val="20"/>
                <w:szCs w:val="20"/>
              </w:rPr>
            </w:pPr>
            <w:r w:rsidRPr="00D54675">
              <w:rPr>
                <w:rFonts w:ascii="Times New Roman" w:eastAsia="Times New Roman" w:hAnsi="Times New Roman" w:cs="Times New Roman"/>
                <w:b/>
                <w:bCs/>
                <w:color w:val="000000" w:themeColor="text1"/>
                <w:sz w:val="20"/>
                <w:szCs w:val="20"/>
              </w:rPr>
              <w:t>WC (%)</w:t>
            </w:r>
          </w:p>
        </w:tc>
      </w:tr>
      <w:tr w:rsidR="00CA246C" w:rsidRPr="00D54675" w14:paraId="646344BA" w14:textId="77777777" w:rsidTr="001F46FA">
        <w:trPr>
          <w:trHeight w:val="20"/>
        </w:trPr>
        <w:tc>
          <w:tcPr>
            <w:tcW w:w="0" w:type="auto"/>
            <w:tcBorders>
              <w:top w:val="single" w:sz="4" w:space="0" w:color="auto"/>
            </w:tcBorders>
            <w:shd w:val="clear" w:color="000000" w:fill="FFFFFF"/>
            <w:noWrap/>
            <w:vAlign w:val="center"/>
            <w:hideMark/>
          </w:tcPr>
          <w:p w14:paraId="3CA9F0EC"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Small </w:t>
            </w:r>
          </w:p>
        </w:tc>
        <w:tc>
          <w:tcPr>
            <w:tcW w:w="0" w:type="auto"/>
            <w:tcBorders>
              <w:top w:val="single" w:sz="4" w:space="0" w:color="auto"/>
            </w:tcBorders>
            <w:shd w:val="clear" w:color="000000" w:fill="FFFFFF"/>
            <w:noWrap/>
            <w:tcMar>
              <w:left w:w="0" w:type="dxa"/>
              <w:right w:w="0" w:type="dxa"/>
            </w:tcMar>
            <w:vAlign w:val="center"/>
            <w:hideMark/>
          </w:tcPr>
          <w:p w14:paraId="5E8C56CA"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22.63</w:t>
            </w:r>
          </w:p>
        </w:tc>
        <w:tc>
          <w:tcPr>
            <w:tcW w:w="0" w:type="auto"/>
            <w:tcBorders>
              <w:top w:val="single" w:sz="4" w:space="0" w:color="auto"/>
            </w:tcBorders>
            <w:shd w:val="clear" w:color="000000" w:fill="FFFFFF"/>
            <w:noWrap/>
            <w:tcMar>
              <w:left w:w="0" w:type="dxa"/>
              <w:right w:w="0" w:type="dxa"/>
            </w:tcMar>
            <w:vAlign w:val="center"/>
            <w:hideMark/>
          </w:tcPr>
          <w:p w14:paraId="48EA610B"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top w:val="single" w:sz="4" w:space="0" w:color="auto"/>
            </w:tcBorders>
            <w:shd w:val="clear" w:color="000000" w:fill="FFFFFF"/>
            <w:noWrap/>
            <w:tcMar>
              <w:left w:w="0" w:type="dxa"/>
              <w:right w:w="0" w:type="dxa"/>
            </w:tcMar>
            <w:vAlign w:val="center"/>
          </w:tcPr>
          <w:p w14:paraId="6299BEC8"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8.65 </w:t>
            </w:r>
          </w:p>
        </w:tc>
        <w:tc>
          <w:tcPr>
            <w:tcW w:w="0" w:type="auto"/>
            <w:tcBorders>
              <w:top w:val="single" w:sz="4" w:space="0" w:color="auto"/>
            </w:tcBorders>
            <w:shd w:val="clear" w:color="000000" w:fill="FFFFFF"/>
            <w:noWrap/>
            <w:tcMar>
              <w:left w:w="0" w:type="dxa"/>
              <w:right w:w="0" w:type="dxa"/>
            </w:tcMar>
            <w:vAlign w:val="center"/>
          </w:tcPr>
          <w:p w14:paraId="3F38EC0D"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top w:val="single" w:sz="4" w:space="0" w:color="auto"/>
            </w:tcBorders>
            <w:shd w:val="clear" w:color="000000" w:fill="FFFFFF"/>
            <w:noWrap/>
            <w:tcMar>
              <w:left w:w="0" w:type="dxa"/>
              <w:right w:w="0" w:type="dxa"/>
            </w:tcMar>
            <w:vAlign w:val="center"/>
          </w:tcPr>
          <w:p w14:paraId="05C4900F" w14:textId="77777777" w:rsidR="00CA246C" w:rsidRPr="00D54675" w:rsidRDefault="00CA246C" w:rsidP="001F46FA">
            <w:pPr>
              <w:spacing w:after="0" w:line="240" w:lineRule="auto"/>
              <w:ind w:left="6" w:hanging="6"/>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4.45</w:t>
            </w:r>
          </w:p>
        </w:tc>
        <w:tc>
          <w:tcPr>
            <w:tcW w:w="0" w:type="auto"/>
            <w:tcBorders>
              <w:top w:val="single" w:sz="4" w:space="0" w:color="auto"/>
            </w:tcBorders>
            <w:shd w:val="clear" w:color="000000" w:fill="FFFFFF"/>
            <w:noWrap/>
            <w:tcMar>
              <w:left w:w="0" w:type="dxa"/>
              <w:right w:w="0" w:type="dxa"/>
            </w:tcMar>
            <w:vAlign w:val="center"/>
          </w:tcPr>
          <w:p w14:paraId="60D7410D"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top w:val="single" w:sz="4" w:space="0" w:color="auto"/>
            </w:tcBorders>
            <w:shd w:val="clear" w:color="000000" w:fill="FFFFFF"/>
            <w:noWrap/>
            <w:tcMar>
              <w:left w:w="0" w:type="dxa"/>
              <w:right w:w="0" w:type="dxa"/>
            </w:tcMar>
            <w:vAlign w:val="center"/>
          </w:tcPr>
          <w:p w14:paraId="3CE77301"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1.13 </w:t>
            </w:r>
          </w:p>
        </w:tc>
        <w:tc>
          <w:tcPr>
            <w:tcW w:w="0" w:type="auto"/>
            <w:tcBorders>
              <w:top w:val="single" w:sz="4" w:space="0" w:color="auto"/>
            </w:tcBorders>
            <w:shd w:val="clear" w:color="000000" w:fill="FFFFFF"/>
            <w:noWrap/>
            <w:tcMar>
              <w:left w:w="0" w:type="dxa"/>
              <w:right w:w="0" w:type="dxa"/>
            </w:tcMar>
            <w:vAlign w:val="center"/>
          </w:tcPr>
          <w:p w14:paraId="1633BAB1"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top w:val="single" w:sz="4" w:space="0" w:color="auto"/>
            </w:tcBorders>
            <w:shd w:val="clear" w:color="000000" w:fill="FFFFFF"/>
            <w:noWrap/>
            <w:tcMar>
              <w:left w:w="0" w:type="dxa"/>
              <w:right w:w="0" w:type="dxa"/>
            </w:tcMar>
            <w:vAlign w:val="center"/>
          </w:tcPr>
          <w:p w14:paraId="598DDD29"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82.16</w:t>
            </w:r>
          </w:p>
        </w:tc>
        <w:tc>
          <w:tcPr>
            <w:tcW w:w="0" w:type="auto"/>
            <w:tcBorders>
              <w:top w:val="single" w:sz="4" w:space="0" w:color="auto"/>
              <w:right w:val="single" w:sz="4" w:space="0" w:color="auto"/>
            </w:tcBorders>
            <w:shd w:val="clear" w:color="000000" w:fill="FFFFFF"/>
            <w:noWrap/>
            <w:tcMar>
              <w:left w:w="0" w:type="dxa"/>
              <w:right w:w="0" w:type="dxa"/>
            </w:tcMar>
            <w:vAlign w:val="center"/>
          </w:tcPr>
          <w:p w14:paraId="326A44F6"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top w:val="single" w:sz="4" w:space="0" w:color="auto"/>
              <w:left w:val="single" w:sz="4" w:space="0" w:color="auto"/>
            </w:tcBorders>
            <w:shd w:val="clear" w:color="000000" w:fill="FFFFFF"/>
            <w:tcMar>
              <w:left w:w="0" w:type="dxa"/>
              <w:right w:w="0" w:type="dxa"/>
            </w:tcMar>
            <w:vAlign w:val="center"/>
          </w:tcPr>
          <w:p w14:paraId="31E46DC1" w14:textId="77777777" w:rsidR="00CA246C" w:rsidRPr="00D54675" w:rsidRDefault="00CA246C" w:rsidP="001F46FA">
            <w:pPr>
              <w:spacing w:after="0" w:line="240" w:lineRule="auto"/>
              <w:ind w:left="-100" w:firstLine="100"/>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 xml:space="preserve">45.71 </w:t>
            </w:r>
          </w:p>
        </w:tc>
        <w:tc>
          <w:tcPr>
            <w:tcW w:w="0" w:type="auto"/>
            <w:tcBorders>
              <w:top w:val="single" w:sz="4" w:space="0" w:color="auto"/>
            </w:tcBorders>
            <w:shd w:val="clear" w:color="000000" w:fill="FFFFFF"/>
            <w:tcMar>
              <w:left w:w="0" w:type="dxa"/>
              <w:right w:w="0" w:type="dxa"/>
            </w:tcMar>
            <w:vAlign w:val="center"/>
          </w:tcPr>
          <w:p w14:paraId="23535D88"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top w:val="single" w:sz="4" w:space="0" w:color="auto"/>
            </w:tcBorders>
            <w:shd w:val="clear" w:color="000000" w:fill="FFFFFF"/>
            <w:tcMar>
              <w:left w:w="0" w:type="dxa"/>
              <w:right w:w="0" w:type="dxa"/>
            </w:tcMar>
            <w:vAlign w:val="center"/>
          </w:tcPr>
          <w:p w14:paraId="5037EAC5"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 xml:space="preserve">47.94 </w:t>
            </w:r>
          </w:p>
        </w:tc>
        <w:tc>
          <w:tcPr>
            <w:tcW w:w="0" w:type="auto"/>
            <w:tcBorders>
              <w:top w:val="single" w:sz="4" w:space="0" w:color="auto"/>
            </w:tcBorders>
            <w:shd w:val="clear" w:color="000000" w:fill="FFFFFF"/>
            <w:tcMar>
              <w:left w:w="0" w:type="dxa"/>
              <w:right w:w="0" w:type="dxa"/>
            </w:tcMar>
            <w:vAlign w:val="center"/>
          </w:tcPr>
          <w:p w14:paraId="0C366288"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top w:val="single" w:sz="4" w:space="0" w:color="auto"/>
            </w:tcBorders>
            <w:shd w:val="clear" w:color="000000" w:fill="FFFFFF"/>
            <w:tcMar>
              <w:left w:w="0" w:type="dxa"/>
              <w:right w:w="0" w:type="dxa"/>
            </w:tcMar>
            <w:vAlign w:val="center"/>
          </w:tcPr>
          <w:p w14:paraId="1D6EC284"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8.62</w:t>
            </w:r>
          </w:p>
        </w:tc>
        <w:tc>
          <w:tcPr>
            <w:tcW w:w="0" w:type="auto"/>
            <w:tcBorders>
              <w:top w:val="single" w:sz="4" w:space="0" w:color="auto"/>
            </w:tcBorders>
            <w:shd w:val="clear" w:color="000000" w:fill="FFFFFF"/>
            <w:tcMar>
              <w:left w:w="0" w:type="dxa"/>
              <w:right w:w="0" w:type="dxa"/>
            </w:tcMar>
            <w:vAlign w:val="center"/>
          </w:tcPr>
          <w:p w14:paraId="3D2903E4"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top w:val="single" w:sz="4" w:space="0" w:color="auto"/>
            </w:tcBorders>
            <w:shd w:val="clear" w:color="000000" w:fill="FFFFFF"/>
            <w:vAlign w:val="center"/>
          </w:tcPr>
          <w:p w14:paraId="698715AC" w14:textId="77777777" w:rsidR="00CA246C" w:rsidRPr="00D54675" w:rsidRDefault="00CA246C" w:rsidP="001F46FA">
            <w:pPr>
              <w:spacing w:after="0" w:line="240" w:lineRule="auto"/>
              <w:ind w:left="-106" w:right="-104"/>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5.67</w:t>
            </w:r>
          </w:p>
        </w:tc>
        <w:tc>
          <w:tcPr>
            <w:tcW w:w="0" w:type="auto"/>
            <w:tcBorders>
              <w:top w:val="single" w:sz="4" w:space="0" w:color="auto"/>
            </w:tcBorders>
            <w:shd w:val="clear" w:color="000000" w:fill="FFFFFF"/>
            <w:tcMar>
              <w:left w:w="0" w:type="dxa"/>
              <w:right w:w="0" w:type="dxa"/>
            </w:tcMar>
            <w:vAlign w:val="center"/>
          </w:tcPr>
          <w:p w14:paraId="7E574B23"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top w:val="single" w:sz="4" w:space="0" w:color="auto"/>
            </w:tcBorders>
            <w:shd w:val="clear" w:color="000000" w:fill="FFFFFF"/>
            <w:vAlign w:val="center"/>
          </w:tcPr>
          <w:p w14:paraId="75EA6DE1" w14:textId="77777777" w:rsidR="00CA246C" w:rsidRPr="00D54675" w:rsidRDefault="00CA246C" w:rsidP="001F46FA">
            <w:pPr>
              <w:spacing w:after="0" w:line="240" w:lineRule="auto"/>
              <w:ind w:right="-110"/>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84.82</w:t>
            </w:r>
          </w:p>
        </w:tc>
        <w:tc>
          <w:tcPr>
            <w:tcW w:w="0" w:type="auto"/>
            <w:tcBorders>
              <w:top w:val="single" w:sz="4" w:space="0" w:color="auto"/>
            </w:tcBorders>
            <w:shd w:val="clear" w:color="000000" w:fill="FFFFFF"/>
            <w:vAlign w:val="center"/>
          </w:tcPr>
          <w:p w14:paraId="3D864DCB"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a</w:t>
            </w:r>
          </w:p>
        </w:tc>
      </w:tr>
      <w:tr w:rsidR="00CA246C" w:rsidRPr="00D54675" w14:paraId="6FBB6F7D" w14:textId="77777777" w:rsidTr="001F46FA">
        <w:trPr>
          <w:trHeight w:val="20"/>
        </w:trPr>
        <w:tc>
          <w:tcPr>
            <w:tcW w:w="0" w:type="auto"/>
            <w:shd w:val="clear" w:color="000000" w:fill="FFFFFF"/>
            <w:noWrap/>
            <w:vAlign w:val="center"/>
            <w:hideMark/>
          </w:tcPr>
          <w:p w14:paraId="4F50878F"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Medium</w:t>
            </w:r>
          </w:p>
        </w:tc>
        <w:tc>
          <w:tcPr>
            <w:tcW w:w="0" w:type="auto"/>
            <w:shd w:val="clear" w:color="000000" w:fill="FFFFFF"/>
            <w:noWrap/>
            <w:tcMar>
              <w:left w:w="0" w:type="dxa"/>
              <w:right w:w="0" w:type="dxa"/>
            </w:tcMar>
            <w:vAlign w:val="center"/>
            <w:hideMark/>
          </w:tcPr>
          <w:p w14:paraId="5F6D59AE"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27.33</w:t>
            </w:r>
          </w:p>
        </w:tc>
        <w:tc>
          <w:tcPr>
            <w:tcW w:w="0" w:type="auto"/>
            <w:shd w:val="clear" w:color="000000" w:fill="FFFFFF"/>
            <w:noWrap/>
            <w:tcMar>
              <w:left w:w="0" w:type="dxa"/>
              <w:right w:w="0" w:type="dxa"/>
            </w:tcMar>
            <w:vAlign w:val="center"/>
            <w:hideMark/>
          </w:tcPr>
          <w:p w14:paraId="01165529"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b</w:t>
            </w:r>
          </w:p>
        </w:tc>
        <w:tc>
          <w:tcPr>
            <w:tcW w:w="0" w:type="auto"/>
            <w:shd w:val="clear" w:color="000000" w:fill="FFFFFF"/>
            <w:noWrap/>
            <w:tcMar>
              <w:left w:w="0" w:type="dxa"/>
              <w:right w:w="0" w:type="dxa"/>
            </w:tcMar>
            <w:vAlign w:val="center"/>
          </w:tcPr>
          <w:p w14:paraId="50CDBD6A"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12.28 </w:t>
            </w:r>
          </w:p>
        </w:tc>
        <w:tc>
          <w:tcPr>
            <w:tcW w:w="0" w:type="auto"/>
            <w:shd w:val="clear" w:color="000000" w:fill="FFFFFF"/>
            <w:noWrap/>
            <w:tcMar>
              <w:left w:w="0" w:type="dxa"/>
              <w:right w:w="0" w:type="dxa"/>
            </w:tcMar>
            <w:vAlign w:val="center"/>
          </w:tcPr>
          <w:p w14:paraId="7FE87C33"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noWrap/>
            <w:tcMar>
              <w:left w:w="0" w:type="dxa"/>
              <w:right w:w="0" w:type="dxa"/>
            </w:tcMar>
            <w:vAlign w:val="center"/>
          </w:tcPr>
          <w:p w14:paraId="14F19D07"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5.53</w:t>
            </w:r>
          </w:p>
        </w:tc>
        <w:tc>
          <w:tcPr>
            <w:tcW w:w="0" w:type="auto"/>
            <w:shd w:val="clear" w:color="000000" w:fill="FFFFFF"/>
            <w:noWrap/>
            <w:tcMar>
              <w:left w:w="0" w:type="dxa"/>
              <w:right w:w="0" w:type="dxa"/>
            </w:tcMar>
            <w:vAlign w:val="center"/>
          </w:tcPr>
          <w:p w14:paraId="1421C99F"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noWrap/>
            <w:tcMar>
              <w:left w:w="0" w:type="dxa"/>
              <w:right w:w="0" w:type="dxa"/>
            </w:tcMar>
            <w:vAlign w:val="center"/>
          </w:tcPr>
          <w:p w14:paraId="6F409573"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1.14 </w:t>
            </w:r>
          </w:p>
        </w:tc>
        <w:tc>
          <w:tcPr>
            <w:tcW w:w="0" w:type="auto"/>
            <w:shd w:val="clear" w:color="000000" w:fill="FFFFFF"/>
            <w:noWrap/>
            <w:tcMar>
              <w:left w:w="0" w:type="dxa"/>
              <w:right w:w="0" w:type="dxa"/>
            </w:tcMar>
            <w:vAlign w:val="center"/>
          </w:tcPr>
          <w:p w14:paraId="1BB261ED"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noWrap/>
            <w:tcMar>
              <w:left w:w="0" w:type="dxa"/>
              <w:right w:w="0" w:type="dxa"/>
            </w:tcMar>
            <w:vAlign w:val="center"/>
          </w:tcPr>
          <w:p w14:paraId="25639266"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83.01</w:t>
            </w:r>
          </w:p>
        </w:tc>
        <w:tc>
          <w:tcPr>
            <w:tcW w:w="0" w:type="auto"/>
            <w:tcBorders>
              <w:right w:val="single" w:sz="4" w:space="0" w:color="auto"/>
            </w:tcBorders>
            <w:shd w:val="clear" w:color="000000" w:fill="FFFFFF"/>
            <w:noWrap/>
            <w:tcMar>
              <w:left w:w="0" w:type="dxa"/>
              <w:right w:w="0" w:type="dxa"/>
            </w:tcMar>
            <w:vAlign w:val="center"/>
          </w:tcPr>
          <w:p w14:paraId="77F40999"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left w:val="single" w:sz="4" w:space="0" w:color="auto"/>
            </w:tcBorders>
            <w:shd w:val="clear" w:color="000000" w:fill="FFFFFF"/>
            <w:tcMar>
              <w:left w:w="0" w:type="dxa"/>
              <w:right w:w="0" w:type="dxa"/>
            </w:tcMar>
            <w:vAlign w:val="center"/>
          </w:tcPr>
          <w:p w14:paraId="68213BC6" w14:textId="77777777" w:rsidR="00CA246C" w:rsidRPr="00D54675" w:rsidRDefault="00CA246C" w:rsidP="001F46FA">
            <w:pPr>
              <w:spacing w:after="0" w:line="240" w:lineRule="auto"/>
              <w:ind w:left="-100" w:firstLine="100"/>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48.75</w:t>
            </w:r>
          </w:p>
        </w:tc>
        <w:tc>
          <w:tcPr>
            <w:tcW w:w="0" w:type="auto"/>
            <w:shd w:val="clear" w:color="000000" w:fill="FFFFFF"/>
            <w:tcMar>
              <w:left w:w="0" w:type="dxa"/>
              <w:right w:w="0" w:type="dxa"/>
            </w:tcMar>
            <w:vAlign w:val="center"/>
          </w:tcPr>
          <w:p w14:paraId="5DFF0B3F"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tcMar>
              <w:left w:w="0" w:type="dxa"/>
              <w:right w:w="0" w:type="dxa"/>
            </w:tcMar>
            <w:vAlign w:val="center"/>
          </w:tcPr>
          <w:p w14:paraId="1C5F5471"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 xml:space="preserve">52.27 </w:t>
            </w:r>
          </w:p>
        </w:tc>
        <w:tc>
          <w:tcPr>
            <w:tcW w:w="0" w:type="auto"/>
            <w:shd w:val="clear" w:color="000000" w:fill="FFFFFF"/>
            <w:tcMar>
              <w:left w:w="0" w:type="dxa"/>
              <w:right w:w="0" w:type="dxa"/>
            </w:tcMar>
            <w:vAlign w:val="center"/>
          </w:tcPr>
          <w:p w14:paraId="103743C0"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ab</w:t>
            </w:r>
          </w:p>
        </w:tc>
        <w:tc>
          <w:tcPr>
            <w:tcW w:w="0" w:type="auto"/>
            <w:shd w:val="clear" w:color="000000" w:fill="FFFFFF"/>
            <w:tcMar>
              <w:left w:w="0" w:type="dxa"/>
              <w:right w:w="0" w:type="dxa"/>
            </w:tcMar>
            <w:vAlign w:val="center"/>
          </w:tcPr>
          <w:p w14:paraId="332EE847"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8.93</w:t>
            </w:r>
          </w:p>
        </w:tc>
        <w:tc>
          <w:tcPr>
            <w:tcW w:w="0" w:type="auto"/>
            <w:shd w:val="clear" w:color="000000" w:fill="FFFFFF"/>
            <w:tcMar>
              <w:left w:w="0" w:type="dxa"/>
              <w:right w:w="0" w:type="dxa"/>
            </w:tcMar>
            <w:vAlign w:val="center"/>
          </w:tcPr>
          <w:p w14:paraId="2991C93B"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vAlign w:val="center"/>
          </w:tcPr>
          <w:p w14:paraId="58E1A351" w14:textId="77777777" w:rsidR="00CA246C" w:rsidRPr="00D54675" w:rsidRDefault="00CA246C" w:rsidP="001F46FA">
            <w:pPr>
              <w:spacing w:after="0" w:line="240" w:lineRule="auto"/>
              <w:ind w:right="-104"/>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8.10</w:t>
            </w:r>
          </w:p>
        </w:tc>
        <w:tc>
          <w:tcPr>
            <w:tcW w:w="0" w:type="auto"/>
            <w:shd w:val="clear" w:color="000000" w:fill="FFFFFF"/>
            <w:tcMar>
              <w:left w:w="0" w:type="dxa"/>
              <w:right w:w="0" w:type="dxa"/>
            </w:tcMar>
            <w:vAlign w:val="center"/>
          </w:tcPr>
          <w:p w14:paraId="63432DD2"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vAlign w:val="center"/>
          </w:tcPr>
          <w:p w14:paraId="2341B180" w14:textId="77777777" w:rsidR="00CA246C" w:rsidRPr="00D54675" w:rsidRDefault="00CA246C" w:rsidP="001F46FA">
            <w:pPr>
              <w:spacing w:after="0" w:line="240" w:lineRule="auto"/>
              <w:ind w:right="-110"/>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82.78</w:t>
            </w:r>
          </w:p>
        </w:tc>
        <w:tc>
          <w:tcPr>
            <w:tcW w:w="0" w:type="auto"/>
            <w:shd w:val="clear" w:color="000000" w:fill="FFFFFF"/>
            <w:vAlign w:val="center"/>
          </w:tcPr>
          <w:p w14:paraId="2A4337AB"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a</w:t>
            </w:r>
          </w:p>
        </w:tc>
      </w:tr>
      <w:tr w:rsidR="00CA246C" w:rsidRPr="00D54675" w14:paraId="4A734129" w14:textId="77777777" w:rsidTr="001F46FA">
        <w:trPr>
          <w:trHeight w:val="20"/>
        </w:trPr>
        <w:tc>
          <w:tcPr>
            <w:tcW w:w="0" w:type="auto"/>
            <w:shd w:val="clear" w:color="000000" w:fill="FFFFFF"/>
            <w:noWrap/>
            <w:vAlign w:val="center"/>
            <w:hideMark/>
          </w:tcPr>
          <w:p w14:paraId="04B0FC7C"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Large</w:t>
            </w:r>
          </w:p>
        </w:tc>
        <w:tc>
          <w:tcPr>
            <w:tcW w:w="0" w:type="auto"/>
            <w:shd w:val="clear" w:color="000000" w:fill="FFFFFF"/>
            <w:noWrap/>
            <w:tcMar>
              <w:left w:w="0" w:type="dxa"/>
              <w:right w:w="0" w:type="dxa"/>
            </w:tcMar>
            <w:vAlign w:val="center"/>
            <w:hideMark/>
          </w:tcPr>
          <w:p w14:paraId="14D2CE15"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28.44</w:t>
            </w:r>
          </w:p>
        </w:tc>
        <w:tc>
          <w:tcPr>
            <w:tcW w:w="0" w:type="auto"/>
            <w:shd w:val="clear" w:color="000000" w:fill="FFFFFF"/>
            <w:noWrap/>
            <w:tcMar>
              <w:left w:w="0" w:type="dxa"/>
              <w:right w:w="0" w:type="dxa"/>
            </w:tcMar>
            <w:vAlign w:val="center"/>
            <w:hideMark/>
          </w:tcPr>
          <w:p w14:paraId="7638B578"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b</w:t>
            </w:r>
          </w:p>
        </w:tc>
        <w:tc>
          <w:tcPr>
            <w:tcW w:w="0" w:type="auto"/>
            <w:shd w:val="clear" w:color="000000" w:fill="FFFFFF"/>
            <w:noWrap/>
            <w:tcMar>
              <w:left w:w="0" w:type="dxa"/>
              <w:right w:w="0" w:type="dxa"/>
            </w:tcMar>
            <w:vAlign w:val="center"/>
          </w:tcPr>
          <w:p w14:paraId="7896C57C"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11.21 </w:t>
            </w:r>
          </w:p>
        </w:tc>
        <w:tc>
          <w:tcPr>
            <w:tcW w:w="0" w:type="auto"/>
            <w:shd w:val="clear" w:color="000000" w:fill="FFFFFF"/>
            <w:noWrap/>
            <w:tcMar>
              <w:left w:w="0" w:type="dxa"/>
              <w:right w:w="0" w:type="dxa"/>
            </w:tcMar>
            <w:vAlign w:val="center"/>
          </w:tcPr>
          <w:p w14:paraId="4B2320DB"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noWrap/>
            <w:tcMar>
              <w:left w:w="0" w:type="dxa"/>
              <w:right w:w="0" w:type="dxa"/>
            </w:tcMar>
            <w:vAlign w:val="center"/>
          </w:tcPr>
          <w:p w14:paraId="1DB04050"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6.57</w:t>
            </w:r>
          </w:p>
        </w:tc>
        <w:tc>
          <w:tcPr>
            <w:tcW w:w="0" w:type="auto"/>
            <w:shd w:val="clear" w:color="000000" w:fill="FFFFFF"/>
            <w:noWrap/>
            <w:tcMar>
              <w:left w:w="0" w:type="dxa"/>
              <w:right w:w="0" w:type="dxa"/>
            </w:tcMar>
            <w:vAlign w:val="center"/>
          </w:tcPr>
          <w:p w14:paraId="0D9FECDF"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noWrap/>
            <w:tcMar>
              <w:left w:w="0" w:type="dxa"/>
              <w:right w:w="0" w:type="dxa"/>
            </w:tcMar>
            <w:vAlign w:val="center"/>
          </w:tcPr>
          <w:p w14:paraId="4B4ED624"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1.06 </w:t>
            </w:r>
          </w:p>
        </w:tc>
        <w:tc>
          <w:tcPr>
            <w:tcW w:w="0" w:type="auto"/>
            <w:shd w:val="clear" w:color="000000" w:fill="FFFFFF"/>
            <w:noWrap/>
            <w:tcMar>
              <w:left w:w="0" w:type="dxa"/>
              <w:right w:w="0" w:type="dxa"/>
            </w:tcMar>
            <w:vAlign w:val="center"/>
          </w:tcPr>
          <w:p w14:paraId="2A7A0696"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noWrap/>
            <w:tcMar>
              <w:left w:w="0" w:type="dxa"/>
              <w:right w:w="0" w:type="dxa"/>
            </w:tcMar>
            <w:vAlign w:val="center"/>
          </w:tcPr>
          <w:p w14:paraId="265B645D"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83.43</w:t>
            </w:r>
          </w:p>
        </w:tc>
        <w:tc>
          <w:tcPr>
            <w:tcW w:w="0" w:type="auto"/>
            <w:tcBorders>
              <w:right w:val="single" w:sz="4" w:space="0" w:color="auto"/>
            </w:tcBorders>
            <w:shd w:val="clear" w:color="000000" w:fill="FFFFFF"/>
            <w:noWrap/>
            <w:tcMar>
              <w:left w:w="0" w:type="dxa"/>
              <w:right w:w="0" w:type="dxa"/>
            </w:tcMar>
            <w:vAlign w:val="center"/>
          </w:tcPr>
          <w:p w14:paraId="1B25FC49"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tcBorders>
              <w:left w:val="single" w:sz="4" w:space="0" w:color="auto"/>
            </w:tcBorders>
            <w:shd w:val="clear" w:color="000000" w:fill="FFFFFF"/>
            <w:tcMar>
              <w:left w:w="0" w:type="dxa"/>
              <w:right w:w="0" w:type="dxa"/>
            </w:tcMar>
            <w:vAlign w:val="center"/>
          </w:tcPr>
          <w:p w14:paraId="1B4C2E59" w14:textId="77777777" w:rsidR="00CA246C" w:rsidRPr="00D54675" w:rsidRDefault="00CA246C" w:rsidP="001F46FA">
            <w:pPr>
              <w:spacing w:after="0" w:line="240" w:lineRule="auto"/>
              <w:ind w:left="-100" w:firstLine="100"/>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 xml:space="preserve">51.40 </w:t>
            </w:r>
          </w:p>
        </w:tc>
        <w:tc>
          <w:tcPr>
            <w:tcW w:w="0" w:type="auto"/>
            <w:shd w:val="clear" w:color="000000" w:fill="FFFFFF"/>
            <w:tcMar>
              <w:left w:w="0" w:type="dxa"/>
              <w:right w:w="0" w:type="dxa"/>
            </w:tcMar>
            <w:vAlign w:val="center"/>
          </w:tcPr>
          <w:p w14:paraId="549ADE27"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tcMar>
              <w:left w:w="0" w:type="dxa"/>
              <w:right w:w="0" w:type="dxa"/>
            </w:tcMar>
            <w:vAlign w:val="center"/>
          </w:tcPr>
          <w:p w14:paraId="5449657E"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56.53</w:t>
            </w:r>
          </w:p>
        </w:tc>
        <w:tc>
          <w:tcPr>
            <w:tcW w:w="0" w:type="auto"/>
            <w:shd w:val="clear" w:color="000000" w:fill="FFFFFF"/>
            <w:tcMar>
              <w:left w:w="0" w:type="dxa"/>
              <w:right w:w="0" w:type="dxa"/>
            </w:tcMar>
            <w:vAlign w:val="center"/>
          </w:tcPr>
          <w:p w14:paraId="1EC77F1F"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b</w:t>
            </w:r>
          </w:p>
        </w:tc>
        <w:tc>
          <w:tcPr>
            <w:tcW w:w="0" w:type="auto"/>
            <w:shd w:val="clear" w:color="000000" w:fill="FFFFFF"/>
            <w:tcMar>
              <w:left w:w="0" w:type="dxa"/>
              <w:right w:w="0" w:type="dxa"/>
            </w:tcMar>
            <w:vAlign w:val="center"/>
          </w:tcPr>
          <w:p w14:paraId="666494C3"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10.16</w:t>
            </w:r>
          </w:p>
        </w:tc>
        <w:tc>
          <w:tcPr>
            <w:tcW w:w="0" w:type="auto"/>
            <w:shd w:val="clear" w:color="000000" w:fill="FFFFFF"/>
            <w:tcMar>
              <w:left w:w="0" w:type="dxa"/>
              <w:right w:w="0" w:type="dxa"/>
            </w:tcMar>
            <w:vAlign w:val="center"/>
          </w:tcPr>
          <w:p w14:paraId="3BABE823"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vAlign w:val="center"/>
          </w:tcPr>
          <w:p w14:paraId="4CF564C0" w14:textId="77777777" w:rsidR="00CA246C" w:rsidRPr="00D54675" w:rsidRDefault="00CA246C" w:rsidP="001F46FA">
            <w:pPr>
              <w:spacing w:after="0" w:line="240" w:lineRule="auto"/>
              <w:ind w:right="-104"/>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9.72</w:t>
            </w:r>
          </w:p>
        </w:tc>
        <w:tc>
          <w:tcPr>
            <w:tcW w:w="0" w:type="auto"/>
            <w:shd w:val="clear" w:color="000000" w:fill="FFFFFF"/>
            <w:tcMar>
              <w:left w:w="0" w:type="dxa"/>
              <w:right w:w="0" w:type="dxa"/>
            </w:tcMar>
            <w:vAlign w:val="center"/>
          </w:tcPr>
          <w:p w14:paraId="7D26F203"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 xml:space="preserve"> a</w:t>
            </w:r>
          </w:p>
        </w:tc>
        <w:tc>
          <w:tcPr>
            <w:tcW w:w="0" w:type="auto"/>
            <w:shd w:val="clear" w:color="000000" w:fill="FFFFFF"/>
            <w:vAlign w:val="center"/>
          </w:tcPr>
          <w:p w14:paraId="5A1F5C3E" w14:textId="77777777" w:rsidR="00CA246C" w:rsidRPr="00D54675" w:rsidRDefault="00CA246C" w:rsidP="001F46FA">
            <w:pPr>
              <w:spacing w:after="0" w:line="240" w:lineRule="auto"/>
              <w:ind w:right="-110"/>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81.65</w:t>
            </w:r>
          </w:p>
        </w:tc>
        <w:tc>
          <w:tcPr>
            <w:tcW w:w="0" w:type="auto"/>
            <w:shd w:val="clear" w:color="000000" w:fill="FFFFFF"/>
            <w:vAlign w:val="center"/>
          </w:tcPr>
          <w:p w14:paraId="002299CF"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a</w:t>
            </w:r>
          </w:p>
        </w:tc>
      </w:tr>
      <w:tr w:rsidR="00CA246C" w:rsidRPr="00D54675" w14:paraId="645A4C0D" w14:textId="77777777" w:rsidTr="001F46FA">
        <w:trPr>
          <w:trHeight w:val="20"/>
        </w:trPr>
        <w:tc>
          <w:tcPr>
            <w:tcW w:w="0" w:type="auto"/>
            <w:tcBorders>
              <w:bottom w:val="single" w:sz="4" w:space="0" w:color="auto"/>
            </w:tcBorders>
            <w:shd w:val="clear" w:color="000000" w:fill="FFFFFF"/>
            <w:noWrap/>
            <w:vAlign w:val="bottom"/>
          </w:tcPr>
          <w:p w14:paraId="4297AD1E"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LSD (0.05)</w:t>
            </w:r>
          </w:p>
        </w:tc>
        <w:tc>
          <w:tcPr>
            <w:tcW w:w="0" w:type="auto"/>
            <w:tcBorders>
              <w:bottom w:val="single" w:sz="4" w:space="0" w:color="auto"/>
            </w:tcBorders>
            <w:shd w:val="clear" w:color="000000" w:fill="FFFFFF"/>
            <w:noWrap/>
            <w:tcMar>
              <w:left w:w="0" w:type="dxa"/>
              <w:right w:w="0" w:type="dxa"/>
            </w:tcMar>
            <w:vAlign w:val="bottom"/>
          </w:tcPr>
          <w:p w14:paraId="4FD93D5A"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4.18</w:t>
            </w:r>
          </w:p>
        </w:tc>
        <w:tc>
          <w:tcPr>
            <w:tcW w:w="0" w:type="auto"/>
            <w:tcBorders>
              <w:bottom w:val="single" w:sz="4" w:space="0" w:color="auto"/>
            </w:tcBorders>
            <w:shd w:val="clear" w:color="000000" w:fill="FFFFFF"/>
            <w:noWrap/>
            <w:tcMar>
              <w:left w:w="0" w:type="dxa"/>
              <w:right w:w="0" w:type="dxa"/>
            </w:tcMar>
            <w:vAlign w:val="bottom"/>
          </w:tcPr>
          <w:p w14:paraId="5C137D49"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p>
        </w:tc>
        <w:tc>
          <w:tcPr>
            <w:tcW w:w="0" w:type="auto"/>
            <w:tcBorders>
              <w:bottom w:val="single" w:sz="4" w:space="0" w:color="auto"/>
            </w:tcBorders>
            <w:shd w:val="clear" w:color="000000" w:fill="FFFFFF"/>
            <w:noWrap/>
            <w:tcMar>
              <w:left w:w="0" w:type="dxa"/>
              <w:right w:w="0" w:type="dxa"/>
            </w:tcMar>
            <w:vAlign w:val="bottom"/>
          </w:tcPr>
          <w:p w14:paraId="72BA4052"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5.39</w:t>
            </w:r>
          </w:p>
        </w:tc>
        <w:tc>
          <w:tcPr>
            <w:tcW w:w="0" w:type="auto"/>
            <w:tcBorders>
              <w:bottom w:val="single" w:sz="4" w:space="0" w:color="auto"/>
            </w:tcBorders>
            <w:shd w:val="clear" w:color="000000" w:fill="FFFFFF"/>
            <w:noWrap/>
            <w:tcMar>
              <w:left w:w="0" w:type="dxa"/>
              <w:right w:w="0" w:type="dxa"/>
            </w:tcMar>
            <w:vAlign w:val="bottom"/>
          </w:tcPr>
          <w:p w14:paraId="6E426BB8" w14:textId="77777777" w:rsidR="00CA246C" w:rsidRPr="00D54675" w:rsidRDefault="00CA246C" w:rsidP="001F46FA">
            <w:pPr>
              <w:spacing w:after="0" w:line="240" w:lineRule="auto"/>
              <w:jc w:val="center"/>
              <w:rPr>
                <w:rFonts w:ascii="Times New Roman" w:eastAsia="Times New Roman" w:hAnsi="Times New Roman" w:cs="Times New Roman"/>
                <w:color w:val="000000" w:themeColor="text1"/>
                <w:sz w:val="20"/>
                <w:szCs w:val="20"/>
              </w:rPr>
            </w:pPr>
          </w:p>
        </w:tc>
        <w:tc>
          <w:tcPr>
            <w:tcW w:w="0" w:type="auto"/>
            <w:tcBorders>
              <w:bottom w:val="single" w:sz="4" w:space="0" w:color="auto"/>
            </w:tcBorders>
            <w:shd w:val="clear" w:color="000000" w:fill="FFFFFF"/>
            <w:noWrap/>
            <w:tcMar>
              <w:left w:w="0" w:type="dxa"/>
              <w:right w:w="0" w:type="dxa"/>
            </w:tcMar>
            <w:vAlign w:val="bottom"/>
          </w:tcPr>
          <w:p w14:paraId="052B5B46"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1.20</w:t>
            </w:r>
          </w:p>
        </w:tc>
        <w:tc>
          <w:tcPr>
            <w:tcW w:w="0" w:type="auto"/>
            <w:tcBorders>
              <w:bottom w:val="single" w:sz="4" w:space="0" w:color="auto"/>
            </w:tcBorders>
            <w:shd w:val="clear" w:color="000000" w:fill="FFFFFF"/>
            <w:noWrap/>
            <w:tcMar>
              <w:left w:w="0" w:type="dxa"/>
              <w:right w:w="0" w:type="dxa"/>
            </w:tcMar>
            <w:vAlign w:val="bottom"/>
          </w:tcPr>
          <w:p w14:paraId="6B592F6B"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p>
        </w:tc>
        <w:tc>
          <w:tcPr>
            <w:tcW w:w="0" w:type="auto"/>
            <w:tcBorders>
              <w:bottom w:val="single" w:sz="4" w:space="0" w:color="auto"/>
            </w:tcBorders>
            <w:shd w:val="clear" w:color="000000" w:fill="FFFFFF"/>
            <w:noWrap/>
            <w:tcMar>
              <w:left w:w="0" w:type="dxa"/>
              <w:right w:w="0" w:type="dxa"/>
            </w:tcMar>
            <w:vAlign w:val="bottom"/>
          </w:tcPr>
          <w:p w14:paraId="577D1567"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5.13</w:t>
            </w:r>
          </w:p>
        </w:tc>
        <w:tc>
          <w:tcPr>
            <w:tcW w:w="0" w:type="auto"/>
            <w:tcBorders>
              <w:bottom w:val="single" w:sz="4" w:space="0" w:color="auto"/>
            </w:tcBorders>
            <w:shd w:val="clear" w:color="000000" w:fill="FFFFFF"/>
            <w:noWrap/>
            <w:tcMar>
              <w:left w:w="0" w:type="dxa"/>
              <w:right w:w="0" w:type="dxa"/>
            </w:tcMar>
            <w:vAlign w:val="bottom"/>
          </w:tcPr>
          <w:p w14:paraId="74AB023B"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p>
        </w:tc>
        <w:tc>
          <w:tcPr>
            <w:tcW w:w="0" w:type="auto"/>
            <w:tcBorders>
              <w:bottom w:val="single" w:sz="4" w:space="0" w:color="auto"/>
            </w:tcBorders>
            <w:shd w:val="clear" w:color="000000" w:fill="FFFFFF"/>
            <w:noWrap/>
            <w:tcMar>
              <w:left w:w="0" w:type="dxa"/>
              <w:right w:w="0" w:type="dxa"/>
            </w:tcMar>
            <w:vAlign w:val="bottom"/>
          </w:tcPr>
          <w:p w14:paraId="5F818E43"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rPr>
            </w:pPr>
            <w:r w:rsidRPr="00D54675">
              <w:rPr>
                <w:rFonts w:ascii="Times New Roman" w:eastAsia="Times New Roman" w:hAnsi="Times New Roman" w:cs="Times New Roman"/>
                <w:color w:val="000000" w:themeColor="text1"/>
                <w:sz w:val="20"/>
                <w:szCs w:val="20"/>
              </w:rPr>
              <w:t>2.54</w:t>
            </w:r>
          </w:p>
        </w:tc>
        <w:tc>
          <w:tcPr>
            <w:tcW w:w="0" w:type="auto"/>
            <w:tcBorders>
              <w:bottom w:val="single" w:sz="4" w:space="0" w:color="auto"/>
              <w:right w:val="single" w:sz="4" w:space="0" w:color="auto"/>
            </w:tcBorders>
            <w:shd w:val="clear" w:color="000000" w:fill="FFFFFF"/>
            <w:noWrap/>
            <w:tcMar>
              <w:left w:w="0" w:type="dxa"/>
              <w:right w:w="0" w:type="dxa"/>
            </w:tcMar>
            <w:vAlign w:val="bottom"/>
          </w:tcPr>
          <w:p w14:paraId="083B91DC"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p>
        </w:tc>
        <w:tc>
          <w:tcPr>
            <w:tcW w:w="0" w:type="auto"/>
            <w:tcBorders>
              <w:left w:val="single" w:sz="4" w:space="0" w:color="auto"/>
              <w:bottom w:val="single" w:sz="4" w:space="0" w:color="auto"/>
            </w:tcBorders>
            <w:shd w:val="clear" w:color="000000" w:fill="FFFFFF"/>
            <w:tcMar>
              <w:left w:w="0" w:type="dxa"/>
              <w:right w:w="0" w:type="dxa"/>
            </w:tcMar>
            <w:vAlign w:val="bottom"/>
          </w:tcPr>
          <w:p w14:paraId="70575F83" w14:textId="77777777" w:rsidR="00CA246C" w:rsidRPr="00D54675" w:rsidRDefault="00CA246C" w:rsidP="001F46FA">
            <w:pPr>
              <w:spacing w:after="0" w:line="240" w:lineRule="auto"/>
              <w:ind w:left="-100" w:firstLine="100"/>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5.47</w:t>
            </w:r>
          </w:p>
        </w:tc>
        <w:tc>
          <w:tcPr>
            <w:tcW w:w="0" w:type="auto"/>
            <w:tcBorders>
              <w:bottom w:val="single" w:sz="4" w:space="0" w:color="auto"/>
            </w:tcBorders>
            <w:shd w:val="clear" w:color="000000" w:fill="FFFFFF"/>
            <w:tcMar>
              <w:left w:w="0" w:type="dxa"/>
              <w:right w:w="0" w:type="dxa"/>
            </w:tcMar>
            <w:vAlign w:val="bottom"/>
          </w:tcPr>
          <w:p w14:paraId="62F82670"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p>
        </w:tc>
        <w:tc>
          <w:tcPr>
            <w:tcW w:w="0" w:type="auto"/>
            <w:tcBorders>
              <w:bottom w:val="single" w:sz="4" w:space="0" w:color="auto"/>
            </w:tcBorders>
            <w:shd w:val="clear" w:color="000000" w:fill="FFFFFF"/>
            <w:tcMar>
              <w:left w:w="0" w:type="dxa"/>
              <w:right w:w="0" w:type="dxa"/>
            </w:tcMar>
            <w:vAlign w:val="bottom"/>
          </w:tcPr>
          <w:p w14:paraId="64E78EA5"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8.24</w:t>
            </w:r>
          </w:p>
        </w:tc>
        <w:tc>
          <w:tcPr>
            <w:tcW w:w="0" w:type="auto"/>
            <w:tcBorders>
              <w:bottom w:val="single" w:sz="4" w:space="0" w:color="auto"/>
            </w:tcBorders>
            <w:shd w:val="clear" w:color="000000" w:fill="FFFFFF"/>
            <w:tcMar>
              <w:left w:w="0" w:type="dxa"/>
              <w:right w:w="0" w:type="dxa"/>
            </w:tcMar>
            <w:vAlign w:val="bottom"/>
          </w:tcPr>
          <w:p w14:paraId="225848BA"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p>
        </w:tc>
        <w:tc>
          <w:tcPr>
            <w:tcW w:w="0" w:type="auto"/>
            <w:tcBorders>
              <w:bottom w:val="single" w:sz="4" w:space="0" w:color="auto"/>
            </w:tcBorders>
            <w:shd w:val="clear" w:color="000000" w:fill="FFFFFF"/>
            <w:tcMar>
              <w:left w:w="0" w:type="dxa"/>
              <w:right w:w="0" w:type="dxa"/>
            </w:tcMar>
            <w:vAlign w:val="bottom"/>
          </w:tcPr>
          <w:p w14:paraId="2FEAD9EB" w14:textId="77777777" w:rsidR="00CA246C" w:rsidRPr="00D54675" w:rsidRDefault="00CA246C" w:rsidP="001F46FA">
            <w:pPr>
              <w:spacing w:after="0" w:line="240" w:lineRule="auto"/>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1.60</w:t>
            </w:r>
          </w:p>
        </w:tc>
        <w:tc>
          <w:tcPr>
            <w:tcW w:w="0" w:type="auto"/>
            <w:tcBorders>
              <w:bottom w:val="single" w:sz="4" w:space="0" w:color="auto"/>
            </w:tcBorders>
            <w:shd w:val="clear" w:color="000000" w:fill="FFFFFF"/>
            <w:tcMar>
              <w:left w:w="0" w:type="dxa"/>
              <w:right w:w="0" w:type="dxa"/>
            </w:tcMar>
            <w:vAlign w:val="bottom"/>
          </w:tcPr>
          <w:p w14:paraId="5FB6D7BF" w14:textId="77777777" w:rsidR="00CA246C" w:rsidRPr="00D54675" w:rsidRDefault="00CA246C" w:rsidP="001F46FA">
            <w:pPr>
              <w:spacing w:after="0" w:line="240" w:lineRule="auto"/>
              <w:jc w:val="center"/>
              <w:rPr>
                <w:rFonts w:ascii="Times New Roman" w:eastAsia="Times New Roman" w:hAnsi="Times New Roman" w:cs="Times New Roman"/>
                <w:color w:val="000000" w:themeColor="text1"/>
                <w:sz w:val="20"/>
                <w:szCs w:val="20"/>
              </w:rPr>
            </w:pPr>
          </w:p>
        </w:tc>
        <w:tc>
          <w:tcPr>
            <w:tcW w:w="0" w:type="auto"/>
            <w:tcBorders>
              <w:bottom w:val="single" w:sz="4" w:space="0" w:color="auto"/>
            </w:tcBorders>
            <w:shd w:val="clear" w:color="000000" w:fill="FFFFFF"/>
            <w:vAlign w:val="bottom"/>
          </w:tcPr>
          <w:p w14:paraId="047FB041" w14:textId="77777777" w:rsidR="00CA246C" w:rsidRPr="00D54675" w:rsidRDefault="00CA246C" w:rsidP="001F46FA">
            <w:pPr>
              <w:spacing w:after="0" w:line="240" w:lineRule="auto"/>
              <w:ind w:right="-104"/>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5.13</w:t>
            </w:r>
          </w:p>
        </w:tc>
        <w:tc>
          <w:tcPr>
            <w:tcW w:w="0" w:type="auto"/>
            <w:tcBorders>
              <w:bottom w:val="single" w:sz="4" w:space="0" w:color="auto"/>
            </w:tcBorders>
            <w:shd w:val="clear" w:color="000000" w:fill="FFFFFF"/>
            <w:tcMar>
              <w:left w:w="0" w:type="dxa"/>
              <w:right w:w="0" w:type="dxa"/>
            </w:tcMar>
            <w:vAlign w:val="bottom"/>
          </w:tcPr>
          <w:p w14:paraId="31995660"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p>
        </w:tc>
        <w:tc>
          <w:tcPr>
            <w:tcW w:w="0" w:type="auto"/>
            <w:tcBorders>
              <w:bottom w:val="single" w:sz="4" w:space="0" w:color="auto"/>
            </w:tcBorders>
            <w:shd w:val="clear" w:color="000000" w:fill="FFFFFF"/>
            <w:vAlign w:val="bottom"/>
          </w:tcPr>
          <w:p w14:paraId="62937385" w14:textId="77777777" w:rsidR="00CA246C" w:rsidRPr="00D54675" w:rsidRDefault="00CA246C" w:rsidP="001F46FA">
            <w:pPr>
              <w:spacing w:after="0" w:line="240" w:lineRule="auto"/>
              <w:ind w:right="-110"/>
              <w:jc w:val="right"/>
              <w:rPr>
                <w:rFonts w:ascii="Times New Roman" w:eastAsia="Times New Roman" w:hAnsi="Times New Roman" w:cs="Times New Roman"/>
                <w:color w:val="000000" w:themeColor="text1"/>
                <w:sz w:val="20"/>
                <w:szCs w:val="20"/>
                <w:vertAlign w:val="superscript"/>
              </w:rPr>
            </w:pPr>
            <w:r w:rsidRPr="00D54675">
              <w:rPr>
                <w:rFonts w:ascii="Times New Roman" w:eastAsia="Times New Roman" w:hAnsi="Times New Roman" w:cs="Times New Roman"/>
                <w:color w:val="000000" w:themeColor="text1"/>
                <w:sz w:val="20"/>
                <w:szCs w:val="20"/>
              </w:rPr>
              <w:t>4.22</w:t>
            </w:r>
          </w:p>
        </w:tc>
        <w:tc>
          <w:tcPr>
            <w:tcW w:w="0" w:type="auto"/>
            <w:tcBorders>
              <w:bottom w:val="single" w:sz="4" w:space="0" w:color="auto"/>
            </w:tcBorders>
            <w:shd w:val="clear" w:color="000000" w:fill="FFFFFF"/>
            <w:vAlign w:val="bottom"/>
          </w:tcPr>
          <w:p w14:paraId="4DC39C91" w14:textId="77777777" w:rsidR="00CA246C" w:rsidRPr="00D54675" w:rsidRDefault="00CA246C" w:rsidP="001F46FA">
            <w:pPr>
              <w:spacing w:after="0" w:line="240" w:lineRule="auto"/>
              <w:rPr>
                <w:rFonts w:ascii="Times New Roman" w:eastAsia="Times New Roman" w:hAnsi="Times New Roman" w:cs="Times New Roman"/>
                <w:color w:val="000000" w:themeColor="text1"/>
                <w:sz w:val="20"/>
                <w:szCs w:val="20"/>
              </w:rPr>
            </w:pPr>
          </w:p>
        </w:tc>
      </w:tr>
    </w:tbl>
    <w:p w14:paraId="772485B5" w14:textId="77777777" w:rsidR="00CA246C" w:rsidRPr="00D54675" w:rsidRDefault="00CA246C" w:rsidP="00CA246C">
      <w:pPr>
        <w:spacing w:before="80" w:after="120" w:line="240" w:lineRule="auto"/>
        <w:jc w:val="both"/>
        <w:rPr>
          <w:rFonts w:ascii="Times New Roman" w:eastAsia="Times New Roman" w:hAnsi="Times New Roman" w:cs="Times New Roman"/>
          <w:b/>
          <w:color w:val="FF0000"/>
          <w:sz w:val="20"/>
          <w:szCs w:val="20"/>
        </w:rPr>
      </w:pPr>
      <w:r w:rsidRPr="00D54675">
        <w:rPr>
          <w:rFonts w:ascii="Times New Roman" w:eastAsia="Times New Roman" w:hAnsi="Times New Roman" w:cs="Times New Roman"/>
          <w:bCs/>
          <w:sz w:val="20"/>
          <w:szCs w:val="20"/>
        </w:rPr>
        <w:t xml:space="preserve">Remarks: Means with different alphabet was significantly different at LSD 0.05; </w:t>
      </w:r>
      <w:r w:rsidRPr="00D54675">
        <w:rPr>
          <w:rFonts w:ascii="Times New Roman" w:eastAsia="Times New Roman" w:hAnsi="Times New Roman" w:cs="Times New Roman"/>
          <w:color w:val="000000" w:themeColor="text1"/>
          <w:sz w:val="20"/>
          <w:szCs w:val="20"/>
        </w:rPr>
        <w:t>FW = fresh weight; DW = dry weight; WC = water content. Means followed by the same letter within each column are not significantly different at LSD</w:t>
      </w:r>
      <w:r w:rsidRPr="00D54675">
        <w:rPr>
          <w:rFonts w:ascii="Times New Roman" w:eastAsia="Times New Roman" w:hAnsi="Times New Roman" w:cs="Times New Roman"/>
          <w:color w:val="000000" w:themeColor="text1"/>
          <w:sz w:val="20"/>
          <w:szCs w:val="20"/>
          <w:vertAlign w:val="subscript"/>
        </w:rPr>
        <w:t>0.05</w:t>
      </w:r>
      <w:r w:rsidRPr="00D54675">
        <w:rPr>
          <w:rFonts w:ascii="Times New Roman" w:eastAsia="Times New Roman" w:hAnsi="Times New Roman" w:cs="Times New Roman"/>
          <w:color w:val="000000" w:themeColor="text1"/>
          <w:sz w:val="20"/>
          <w:szCs w:val="20"/>
        </w:rPr>
        <w:t>.</w:t>
      </w:r>
    </w:p>
    <w:p w14:paraId="4F2A5BAD"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fresh weight of consumable leaves was noticeably higher in the plants grown using the larger diameter cuttings. However, for biomass components unsuitable for consumption, different weight of the stem is related to the used diameter stem cutting. A bigger diameter might result a higher stem weight (Table 2). The size of the cuttings indicated more extensive stored nutrients. These nutrients can be in the form of carbohydrates and nitrogen useful for plant growth (Otiende, Nyabundi, Ngamau &amp; Opala, 2017). A respiration activity plays a role in decomposing the nutrients in stem cuttings to produce energy to encourage the growth of shoots and roots (O'Leary, Asao, Millar &amp; Atkin, 2019). Furthermore, it will support the activity of growth organs such as shoots, stems, and roots. The difference of the diameter of the stem cuttings is small and the stem tissue is still young.</w:t>
      </w:r>
    </w:p>
    <w:p w14:paraId="270BDD7B"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The results of this study showed that the moisture contents were relatively similar to both consumable and non-consumable parts of the Chaya plant (Table 2). However, the younger tissues have a higher water content in water-available conditions compared to the older tissues. The higher moisture content increases the internal hydraulic pressure. In young tissues, the elasticity of the cell is still high. The combination of these two constituencies causes cells, tissues, and organs to enlarge faster (Long et al., 2020; Winship, Obermeyer, Geitmann &amp; Hepler, 2010). Sahoo, Swamy, Singh &amp; Mishra (2021) found that cuttings of Pongamia pinnata taken from juvenile plants gave much better roots than mature trees. The young tissue also contains higher growth hormones. Furthermore, Pamungkas, Umroni &amp; Prasetyo (2021) shows that cuttings of Helicteres isora have the highest percentage of survival using cuttings with large sizes.</w:t>
      </w:r>
    </w:p>
    <w:p w14:paraId="0D3C852A" w14:textId="3EA014FC" w:rsidR="00CA246C" w:rsidRPr="00F91458" w:rsidRDefault="00CA246C" w:rsidP="00F91458">
      <w:pPr>
        <w:pStyle w:val="ListParagraph"/>
        <w:numPr>
          <w:ilvl w:val="0"/>
          <w:numId w:val="1"/>
        </w:numPr>
        <w:ind w:left="284" w:hanging="284"/>
        <w:rPr>
          <w:rFonts w:ascii="Times New Roman" w:hAnsi="Times New Roman" w:cs="Times New Roman"/>
          <w:b/>
          <w:bCs/>
          <w:sz w:val="20"/>
          <w:szCs w:val="20"/>
        </w:rPr>
      </w:pPr>
      <w:r w:rsidRPr="00F91458">
        <w:rPr>
          <w:rFonts w:ascii="Times New Roman" w:hAnsi="Times New Roman" w:cs="Times New Roman"/>
          <w:b/>
          <w:bCs/>
          <w:sz w:val="20"/>
          <w:szCs w:val="20"/>
        </w:rPr>
        <w:t>CONCLUSION AND SUGGESTION</w:t>
      </w:r>
    </w:p>
    <w:p w14:paraId="65CD48B0"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Different models and predictors were evaluated for selecting the simplest, reliable, non-destructive, and accurate estimation of the leaf area Chaya plant. The most accurate model utilized the zero-intercept linear regression model and the middle lobe length x width as a predictor: LA = 1.679 LWm and R2 = 0.947 are the coefficients of determination. This estimation model will be further used in the growth analysis study. The effect of stem cutting diameter on Chaya plant growth was only detected when the plant was still young, i.e., 7 WAP or younger. After the Chaya plant was more mature, i.e., 11 WAP or more mature, the influence of the cutting diameter started to diminish. Therefore, there is the possibility that the stem age rather than the morphological size has a more significant effect on growth of the Chaya plant. Since the Chaya plants have not been intensively studied; therefore, there is a vast open space to explore more deeply to gain an understanding and expediency of this perennial vegetable crop, with leaves rich in nutrients and growing well in this tropical ecosystem.</w:t>
      </w:r>
    </w:p>
    <w:p w14:paraId="0F6A7D21" w14:textId="77777777" w:rsidR="00CA246C" w:rsidRPr="00D54675" w:rsidRDefault="00CA246C" w:rsidP="007845D9">
      <w:pPr>
        <w:rPr>
          <w:rFonts w:ascii="Times New Roman" w:hAnsi="Times New Roman" w:cs="Times New Roman"/>
          <w:b/>
          <w:bCs/>
          <w:sz w:val="20"/>
          <w:szCs w:val="20"/>
        </w:rPr>
      </w:pPr>
      <w:r w:rsidRPr="00D54675">
        <w:rPr>
          <w:rFonts w:ascii="Times New Roman" w:hAnsi="Times New Roman" w:cs="Times New Roman"/>
          <w:b/>
          <w:bCs/>
          <w:sz w:val="20"/>
          <w:szCs w:val="20"/>
        </w:rPr>
        <w:t>ACKNOWLEDGEMENT</w:t>
      </w:r>
    </w:p>
    <w:p w14:paraId="034F11C4" w14:textId="77777777" w:rsidR="00CA246C" w:rsidRPr="00D54675" w:rsidRDefault="00CA246C" w:rsidP="00CA246C">
      <w:pPr>
        <w:rPr>
          <w:rFonts w:ascii="Times New Roman" w:hAnsi="Times New Roman" w:cs="Times New Roman"/>
          <w:sz w:val="20"/>
          <w:szCs w:val="20"/>
        </w:rPr>
      </w:pPr>
      <w:r w:rsidRPr="00D54675">
        <w:rPr>
          <w:rFonts w:ascii="Times New Roman" w:hAnsi="Times New Roman" w:cs="Times New Roman"/>
          <w:sz w:val="20"/>
          <w:szCs w:val="20"/>
        </w:rPr>
        <w:t>we would like to thank our colleagues at Universitas Sriwijaya for their scientific contribution. The research was funded by Universitas Sriwijaya, Grant No. 0111/UN9.3.1/SK/2022.</w:t>
      </w:r>
    </w:p>
    <w:p w14:paraId="0B693737" w14:textId="4BF5181E" w:rsidR="00CA246C" w:rsidRPr="00D54675" w:rsidRDefault="00CA246C" w:rsidP="007845D9">
      <w:pPr>
        <w:rPr>
          <w:rFonts w:ascii="Times New Roman" w:hAnsi="Times New Roman" w:cs="Times New Roman"/>
          <w:b/>
          <w:bCs/>
          <w:sz w:val="20"/>
          <w:szCs w:val="20"/>
        </w:rPr>
      </w:pPr>
      <w:r w:rsidRPr="00D54675">
        <w:rPr>
          <w:rFonts w:ascii="Times New Roman" w:hAnsi="Times New Roman" w:cs="Times New Roman"/>
          <w:b/>
          <w:bCs/>
          <w:sz w:val="20"/>
          <w:szCs w:val="20"/>
        </w:rPr>
        <w:t>REFERENCES</w:t>
      </w:r>
      <w:r w:rsidR="00834736">
        <w:rPr>
          <w:rFonts w:ascii="Times New Roman" w:hAnsi="Times New Roman" w:cs="Times New Roman"/>
          <w:b/>
          <w:bCs/>
          <w:sz w:val="20"/>
          <w:szCs w:val="20"/>
        </w:rPr>
        <w:t xml:space="preserve"> </w:t>
      </w:r>
    </w:p>
    <w:p w14:paraId="5E77F67F" w14:textId="36849957"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Angelica, B. C., </w:t>
      </w:r>
      <w:r w:rsidR="00834736">
        <w:rPr>
          <w:rFonts w:ascii="Times New Roman" w:hAnsi="Times New Roman" w:cs="Times New Roman"/>
          <w:sz w:val="20"/>
          <w:szCs w:val="20"/>
        </w:rPr>
        <w:t xml:space="preserve">R.A. V.A. </w:t>
      </w:r>
      <w:r w:rsidRPr="00D54675">
        <w:rPr>
          <w:rFonts w:ascii="Times New Roman" w:hAnsi="Times New Roman" w:cs="Times New Roman"/>
          <w:sz w:val="20"/>
          <w:szCs w:val="20"/>
        </w:rPr>
        <w:t xml:space="preserve">Maria, </w:t>
      </w:r>
      <w:r w:rsidR="00834736">
        <w:rPr>
          <w:rFonts w:ascii="Times New Roman" w:hAnsi="Times New Roman" w:cs="Times New Roman"/>
          <w:sz w:val="20"/>
          <w:szCs w:val="20"/>
        </w:rPr>
        <w:t>A. M.G.</w:t>
      </w:r>
      <w:r w:rsidRPr="00D54675">
        <w:rPr>
          <w:rFonts w:ascii="Times New Roman" w:hAnsi="Times New Roman" w:cs="Times New Roman"/>
          <w:sz w:val="20"/>
          <w:szCs w:val="20"/>
        </w:rPr>
        <w:t xml:space="preserve"> Gabino, </w:t>
      </w:r>
      <w:r w:rsidR="00834736">
        <w:rPr>
          <w:rFonts w:ascii="Times New Roman" w:hAnsi="Times New Roman" w:cs="Times New Roman"/>
          <w:sz w:val="20"/>
          <w:szCs w:val="20"/>
        </w:rPr>
        <w:t xml:space="preserve">S.S.M. </w:t>
      </w:r>
      <w:r w:rsidRPr="00D54675">
        <w:rPr>
          <w:rFonts w:ascii="Times New Roman" w:hAnsi="Times New Roman" w:cs="Times New Roman"/>
          <w:sz w:val="20"/>
          <w:szCs w:val="20"/>
        </w:rPr>
        <w:t xml:space="preserve">Patricia &amp; </w:t>
      </w:r>
      <w:r w:rsidR="00834736">
        <w:rPr>
          <w:rFonts w:ascii="Times New Roman" w:hAnsi="Times New Roman" w:cs="Times New Roman"/>
          <w:sz w:val="20"/>
          <w:szCs w:val="20"/>
        </w:rPr>
        <w:t xml:space="preserve">P.P. </w:t>
      </w:r>
      <w:r w:rsidRPr="00D54675">
        <w:rPr>
          <w:rFonts w:ascii="Times New Roman" w:hAnsi="Times New Roman" w:cs="Times New Roman"/>
          <w:sz w:val="20"/>
          <w:szCs w:val="20"/>
        </w:rPr>
        <w:t xml:space="preserve">Rafael. (2011). The traditional medicinal and food uses of four plants in Oaxaca, Mexico. Journal of Medicinal Plants Research, 5(15), 3404-3411. https://doi.org/10.5897/JMPR.9001240 </w:t>
      </w:r>
    </w:p>
    <w:p w14:paraId="3B385BD7" w14:textId="6F854BCC"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lastRenderedPageBreak/>
        <w:t xml:space="preserve">Boyacı, S., &amp; </w:t>
      </w:r>
      <w:r w:rsidR="00834736">
        <w:rPr>
          <w:rFonts w:ascii="Times New Roman" w:hAnsi="Times New Roman" w:cs="Times New Roman"/>
          <w:sz w:val="20"/>
          <w:szCs w:val="20"/>
        </w:rPr>
        <w:t xml:space="preserve">H. </w:t>
      </w:r>
      <w:r w:rsidRPr="00D54675">
        <w:rPr>
          <w:rFonts w:ascii="Times New Roman" w:hAnsi="Times New Roman" w:cs="Times New Roman"/>
          <w:sz w:val="20"/>
          <w:szCs w:val="20"/>
        </w:rPr>
        <w:t xml:space="preserve">Küçükönder. (2022). Research on Non-Destructive Leaf Area Estimation Modeling for some Apple Cultivars. Powers-Obstbau, 64(Farooq1 et al.), 1-7. https://doi.org/10.1007/s10341-021-00619-w  </w:t>
      </w:r>
    </w:p>
    <w:p w14:paraId="7C281F5E" w14:textId="2427D1E9"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Cabahug, R. A. M., </w:t>
      </w:r>
      <w:r w:rsidR="00834736">
        <w:rPr>
          <w:rFonts w:ascii="Times New Roman" w:hAnsi="Times New Roman" w:cs="Times New Roman"/>
          <w:sz w:val="20"/>
          <w:szCs w:val="20"/>
        </w:rPr>
        <w:t xml:space="preserve">S.Y. </w:t>
      </w:r>
      <w:r w:rsidRPr="00D54675">
        <w:rPr>
          <w:rFonts w:ascii="Times New Roman" w:hAnsi="Times New Roman" w:cs="Times New Roman"/>
          <w:sz w:val="20"/>
          <w:szCs w:val="20"/>
        </w:rPr>
        <w:t xml:space="preserve">Nam, </w:t>
      </w:r>
      <w:r w:rsidR="00834736">
        <w:rPr>
          <w:rFonts w:ascii="Times New Roman" w:hAnsi="Times New Roman" w:cs="Times New Roman"/>
          <w:sz w:val="20"/>
          <w:szCs w:val="20"/>
        </w:rPr>
        <w:t>K.B.</w:t>
      </w:r>
      <w:r w:rsidRPr="00D54675">
        <w:rPr>
          <w:rFonts w:ascii="Times New Roman" w:hAnsi="Times New Roman" w:cs="Times New Roman"/>
          <w:sz w:val="20"/>
          <w:szCs w:val="20"/>
        </w:rPr>
        <w:t xml:space="preserve"> Lim, </w:t>
      </w:r>
      <w:r w:rsidR="00834736">
        <w:rPr>
          <w:rFonts w:ascii="Times New Roman" w:hAnsi="Times New Roman" w:cs="Times New Roman"/>
          <w:sz w:val="20"/>
          <w:szCs w:val="20"/>
        </w:rPr>
        <w:t xml:space="preserve">J.K. </w:t>
      </w:r>
      <w:r w:rsidRPr="00D54675">
        <w:rPr>
          <w:rFonts w:ascii="Times New Roman" w:hAnsi="Times New Roman" w:cs="Times New Roman"/>
          <w:sz w:val="20"/>
          <w:szCs w:val="20"/>
        </w:rPr>
        <w:t xml:space="preserve">Jeon, &amp; </w:t>
      </w:r>
      <w:r w:rsidR="00834736">
        <w:rPr>
          <w:rFonts w:ascii="Times New Roman" w:hAnsi="Times New Roman" w:cs="Times New Roman"/>
          <w:sz w:val="20"/>
          <w:szCs w:val="20"/>
        </w:rPr>
        <w:t xml:space="preserve">Y.J. </w:t>
      </w:r>
      <w:r w:rsidRPr="00D54675">
        <w:rPr>
          <w:rFonts w:ascii="Times New Roman" w:hAnsi="Times New Roman" w:cs="Times New Roman"/>
          <w:sz w:val="20"/>
          <w:szCs w:val="20"/>
        </w:rPr>
        <w:t xml:space="preserve">Hwang. (2018). Propagation techniques for ornamental succulents.  Flower Research Journal, 26(3), 90-101.  http://doi.org/10.11623/frj.2018.26.3.02 </w:t>
      </w:r>
    </w:p>
    <w:p w14:paraId="2A48584E" w14:textId="47C43EE7"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Concepcion, R. I. S., </w:t>
      </w:r>
      <w:r w:rsidR="001B7751">
        <w:rPr>
          <w:rFonts w:ascii="Times New Roman" w:hAnsi="Times New Roman" w:cs="Times New Roman"/>
          <w:sz w:val="20"/>
          <w:szCs w:val="20"/>
        </w:rPr>
        <w:t xml:space="preserve">E. </w:t>
      </w:r>
      <w:r w:rsidRPr="00D54675">
        <w:rPr>
          <w:rFonts w:ascii="Times New Roman" w:hAnsi="Times New Roman" w:cs="Times New Roman"/>
          <w:sz w:val="20"/>
          <w:szCs w:val="20"/>
        </w:rPr>
        <w:t xml:space="preserve">Dadios, &amp; </w:t>
      </w:r>
      <w:r w:rsidR="001B7751">
        <w:rPr>
          <w:rFonts w:ascii="Times New Roman" w:hAnsi="Times New Roman" w:cs="Times New Roman"/>
          <w:sz w:val="20"/>
          <w:szCs w:val="20"/>
        </w:rPr>
        <w:t xml:space="preserve">J. </w:t>
      </w:r>
      <w:r w:rsidRPr="00D54675">
        <w:rPr>
          <w:rFonts w:ascii="Times New Roman" w:hAnsi="Times New Roman" w:cs="Times New Roman"/>
          <w:sz w:val="20"/>
          <w:szCs w:val="20"/>
        </w:rPr>
        <w:t xml:space="preserve">Cuello. (2021). Non-destructive in Situ Measurement of Aquaponic Lactuca Sativa Leaf Photosynthetic Pigments and Nutrient Concentration Using Hybrid Decision Tree and Multigene Symbolic Genetic Programming. AGRIVITA, Journal of Agricultural Science, 43(3), 597-617. http://doi.org/10.17503/agrivita.v43i3.2961 </w:t>
      </w:r>
    </w:p>
    <w:p w14:paraId="34706541" w14:textId="40EE1E13"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De Oliveira, E. J., </w:t>
      </w:r>
      <w:r w:rsidR="001B7751">
        <w:rPr>
          <w:rFonts w:ascii="Times New Roman" w:hAnsi="Times New Roman" w:cs="Times New Roman"/>
          <w:sz w:val="20"/>
          <w:szCs w:val="20"/>
        </w:rPr>
        <w:t xml:space="preserve">S.A.S. </w:t>
      </w:r>
      <w:r w:rsidRPr="00D54675">
        <w:rPr>
          <w:rFonts w:ascii="Times New Roman" w:hAnsi="Times New Roman" w:cs="Times New Roman"/>
          <w:sz w:val="20"/>
          <w:szCs w:val="20"/>
        </w:rPr>
        <w:t xml:space="preserve">de Oliveira, </w:t>
      </w:r>
      <w:r w:rsidR="001B7751">
        <w:rPr>
          <w:rFonts w:ascii="Times New Roman" w:hAnsi="Times New Roman" w:cs="Times New Roman"/>
          <w:sz w:val="20"/>
          <w:szCs w:val="20"/>
        </w:rPr>
        <w:t xml:space="preserve">C. </w:t>
      </w:r>
      <w:r w:rsidRPr="00D54675">
        <w:rPr>
          <w:rFonts w:ascii="Times New Roman" w:hAnsi="Times New Roman" w:cs="Times New Roman"/>
          <w:sz w:val="20"/>
          <w:szCs w:val="20"/>
        </w:rPr>
        <w:t>Otto,</w:t>
      </w:r>
      <w:r w:rsidR="001B7751">
        <w:rPr>
          <w:rFonts w:ascii="Times New Roman" w:hAnsi="Times New Roman" w:cs="Times New Roman"/>
          <w:sz w:val="20"/>
          <w:szCs w:val="20"/>
        </w:rPr>
        <w:t xml:space="preserve"> T.</w:t>
      </w:r>
      <w:r w:rsidRPr="00D54675">
        <w:rPr>
          <w:rFonts w:ascii="Times New Roman" w:hAnsi="Times New Roman" w:cs="Times New Roman"/>
          <w:sz w:val="20"/>
          <w:szCs w:val="20"/>
        </w:rPr>
        <w:t xml:space="preserve"> Alicai, </w:t>
      </w:r>
      <w:r w:rsidR="001B7751">
        <w:rPr>
          <w:rFonts w:ascii="Times New Roman" w:hAnsi="Times New Roman" w:cs="Times New Roman"/>
          <w:sz w:val="20"/>
          <w:szCs w:val="20"/>
        </w:rPr>
        <w:t xml:space="preserve">J.P.X. </w:t>
      </w:r>
      <w:r w:rsidRPr="00D54675">
        <w:rPr>
          <w:rFonts w:ascii="Times New Roman" w:hAnsi="Times New Roman" w:cs="Times New Roman"/>
          <w:sz w:val="20"/>
          <w:szCs w:val="20"/>
        </w:rPr>
        <w:t xml:space="preserve">de Freitas, </w:t>
      </w:r>
      <w:r w:rsidR="001B7751">
        <w:rPr>
          <w:rFonts w:ascii="Times New Roman" w:hAnsi="Times New Roman" w:cs="Times New Roman"/>
          <w:sz w:val="20"/>
          <w:szCs w:val="20"/>
        </w:rPr>
        <w:t xml:space="preserve">D.F.M </w:t>
      </w:r>
      <w:r w:rsidRPr="00D54675">
        <w:rPr>
          <w:rFonts w:ascii="Times New Roman" w:hAnsi="Times New Roman" w:cs="Times New Roman"/>
          <w:sz w:val="20"/>
          <w:szCs w:val="20"/>
        </w:rPr>
        <w:t xml:space="preserve">Cortes &amp; </w:t>
      </w:r>
      <w:r w:rsidR="001B7751">
        <w:rPr>
          <w:rFonts w:ascii="Times New Roman" w:hAnsi="Times New Roman" w:cs="Times New Roman"/>
          <w:sz w:val="20"/>
          <w:szCs w:val="20"/>
        </w:rPr>
        <w:t xml:space="preserve">M. </w:t>
      </w:r>
      <w:r w:rsidRPr="00D54675">
        <w:rPr>
          <w:rFonts w:ascii="Times New Roman" w:hAnsi="Times New Roman" w:cs="Times New Roman"/>
          <w:sz w:val="20"/>
          <w:szCs w:val="20"/>
        </w:rPr>
        <w:t xml:space="preserve">Robinson. (2020). A novel seed treatment-based multiplication approach for cassava planting material.  Plos one, 15(3), 01-18. http://doi.org/10.1371/journal.pone.0229943  </w:t>
      </w:r>
    </w:p>
    <w:p w14:paraId="56E93BF0" w14:textId="5BA29204"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Ebel, R., </w:t>
      </w:r>
      <w:r w:rsidR="0008613D">
        <w:rPr>
          <w:rFonts w:ascii="Times New Roman" w:hAnsi="Times New Roman" w:cs="Times New Roman"/>
          <w:sz w:val="20"/>
          <w:szCs w:val="20"/>
        </w:rPr>
        <w:t xml:space="preserve">J.M. </w:t>
      </w:r>
      <w:r w:rsidRPr="00D54675">
        <w:rPr>
          <w:rFonts w:ascii="Times New Roman" w:hAnsi="Times New Roman" w:cs="Times New Roman"/>
          <w:sz w:val="20"/>
          <w:szCs w:val="20"/>
        </w:rPr>
        <w:t>Aguilar,</w:t>
      </w:r>
      <w:r w:rsidR="0008613D">
        <w:rPr>
          <w:rFonts w:ascii="Times New Roman" w:hAnsi="Times New Roman" w:cs="Times New Roman"/>
          <w:sz w:val="20"/>
          <w:szCs w:val="20"/>
        </w:rPr>
        <w:t xml:space="preserve"> J.A.</w:t>
      </w:r>
      <w:r w:rsidRPr="00D54675">
        <w:rPr>
          <w:rFonts w:ascii="Times New Roman" w:hAnsi="Times New Roman" w:cs="Times New Roman"/>
          <w:sz w:val="20"/>
          <w:szCs w:val="20"/>
        </w:rPr>
        <w:t xml:space="preserve"> Castillo Cocom, &amp; </w:t>
      </w:r>
      <w:r w:rsidR="0008613D">
        <w:rPr>
          <w:rFonts w:ascii="Times New Roman" w:hAnsi="Times New Roman" w:cs="Times New Roman"/>
          <w:sz w:val="20"/>
          <w:szCs w:val="20"/>
        </w:rPr>
        <w:t xml:space="preserve">S. </w:t>
      </w:r>
      <w:r w:rsidRPr="00D54675">
        <w:rPr>
          <w:rFonts w:ascii="Times New Roman" w:hAnsi="Times New Roman" w:cs="Times New Roman"/>
          <w:sz w:val="20"/>
          <w:szCs w:val="20"/>
        </w:rPr>
        <w:t>Kissmann. (2019). Genetic diversity in nutritious leafy green vegetable—chaya (Cnidoscolus aconitifolius). In Genetic diversity in horticultural plants (pp. 161-189). Springer, Cham.</w:t>
      </w:r>
    </w:p>
    <w:p w14:paraId="4CAD5169" w14:textId="7109A5EF"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Easlon, H. M., &amp; </w:t>
      </w:r>
      <w:r w:rsidR="0008613D">
        <w:rPr>
          <w:rFonts w:ascii="Times New Roman" w:hAnsi="Times New Roman" w:cs="Times New Roman"/>
          <w:sz w:val="20"/>
          <w:szCs w:val="20"/>
        </w:rPr>
        <w:t xml:space="preserve">A.J. </w:t>
      </w:r>
      <w:r w:rsidRPr="00D54675">
        <w:rPr>
          <w:rFonts w:ascii="Times New Roman" w:hAnsi="Times New Roman" w:cs="Times New Roman"/>
          <w:sz w:val="20"/>
          <w:szCs w:val="20"/>
        </w:rPr>
        <w:t>Bloom. (2014). Easy Leaf Area: Automated digital image analysis for rapid and accurate measurement of leaf area. Applications in plant sciences, 2(7),  DOI: https://doi.org/10.3732/apps.1400033</w:t>
      </w:r>
    </w:p>
    <w:p w14:paraId="30190036" w14:textId="0E69EFC6"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Gonçalves, M. P., </w:t>
      </w:r>
      <w:r w:rsidR="0008613D">
        <w:rPr>
          <w:rFonts w:ascii="Times New Roman" w:hAnsi="Times New Roman" w:cs="Times New Roman"/>
          <w:sz w:val="20"/>
          <w:szCs w:val="20"/>
        </w:rPr>
        <w:t xml:space="preserve">R.V. </w:t>
      </w:r>
      <w:r w:rsidRPr="00D54675">
        <w:rPr>
          <w:rFonts w:ascii="Times New Roman" w:hAnsi="Times New Roman" w:cs="Times New Roman"/>
          <w:sz w:val="20"/>
          <w:szCs w:val="20"/>
        </w:rPr>
        <w:t xml:space="preserve">Ribeiro &amp; </w:t>
      </w:r>
      <w:r w:rsidR="0008613D">
        <w:rPr>
          <w:rFonts w:ascii="Times New Roman" w:hAnsi="Times New Roman" w:cs="Times New Roman"/>
          <w:sz w:val="20"/>
          <w:szCs w:val="20"/>
        </w:rPr>
        <w:t xml:space="preserve">L. </w:t>
      </w:r>
      <w:r w:rsidRPr="00D54675">
        <w:rPr>
          <w:rFonts w:ascii="Times New Roman" w:hAnsi="Times New Roman" w:cs="Times New Roman"/>
          <w:sz w:val="20"/>
          <w:szCs w:val="20"/>
        </w:rPr>
        <w:t xml:space="preserve">Amorim. (2022). Non-destructive models for estimating leaf area of guava cultivars. Bragantia, 81. e2822. https://doi.org/10.1590/1678-4499.20210342   </w:t>
      </w:r>
    </w:p>
    <w:p w14:paraId="4A29F401" w14:textId="54F8475E"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Hartmann, H.T., D.E. </w:t>
      </w:r>
      <w:r w:rsidR="0008613D">
        <w:rPr>
          <w:rFonts w:ascii="Times New Roman" w:hAnsi="Times New Roman" w:cs="Times New Roman"/>
          <w:sz w:val="20"/>
          <w:szCs w:val="20"/>
        </w:rPr>
        <w:t>F.T.</w:t>
      </w:r>
      <w:r w:rsidRPr="00D54675">
        <w:rPr>
          <w:rFonts w:ascii="Times New Roman" w:hAnsi="Times New Roman" w:cs="Times New Roman"/>
          <w:sz w:val="20"/>
          <w:szCs w:val="20"/>
        </w:rPr>
        <w:t xml:space="preserve"> Kester</w:t>
      </w:r>
      <w:r w:rsidR="0008613D">
        <w:rPr>
          <w:rFonts w:ascii="Times New Roman" w:hAnsi="Times New Roman" w:cs="Times New Roman"/>
          <w:sz w:val="20"/>
          <w:szCs w:val="20"/>
        </w:rPr>
        <w:t>,</w:t>
      </w:r>
      <w:r w:rsidRPr="00D54675">
        <w:rPr>
          <w:rFonts w:ascii="Times New Roman" w:hAnsi="Times New Roman" w:cs="Times New Roman"/>
          <w:sz w:val="20"/>
          <w:szCs w:val="20"/>
        </w:rPr>
        <w:t xml:space="preserve"> </w:t>
      </w:r>
      <w:r w:rsidR="0008613D">
        <w:rPr>
          <w:rFonts w:ascii="Times New Roman" w:hAnsi="Times New Roman" w:cs="Times New Roman"/>
          <w:sz w:val="20"/>
          <w:szCs w:val="20"/>
        </w:rPr>
        <w:t xml:space="preserve"> Jr.R.L.</w:t>
      </w:r>
      <w:r w:rsidRPr="00D54675">
        <w:rPr>
          <w:rFonts w:ascii="Times New Roman" w:hAnsi="Times New Roman" w:cs="Times New Roman"/>
          <w:sz w:val="20"/>
          <w:szCs w:val="20"/>
        </w:rPr>
        <w:t xml:space="preserve"> Davies</w:t>
      </w:r>
      <w:r w:rsidR="0008613D">
        <w:rPr>
          <w:rFonts w:ascii="Times New Roman" w:hAnsi="Times New Roman" w:cs="Times New Roman"/>
          <w:sz w:val="20"/>
          <w:szCs w:val="20"/>
        </w:rPr>
        <w:t xml:space="preserve"> &amp;</w:t>
      </w:r>
      <w:r w:rsidRPr="00D54675">
        <w:rPr>
          <w:rFonts w:ascii="Times New Roman" w:hAnsi="Times New Roman" w:cs="Times New Roman"/>
          <w:sz w:val="20"/>
          <w:szCs w:val="20"/>
        </w:rPr>
        <w:t xml:space="preserve"> Geneve.  2002.  Plant Propagation:  Principles and Practices. 7th edition. Prentice Hall Inc. 770p</w:t>
      </w:r>
    </w:p>
    <w:p w14:paraId="4682A2C7" w14:textId="42ECF75A"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Hernández-Fernandéz, I. A., </w:t>
      </w:r>
      <w:r w:rsidR="0008613D">
        <w:rPr>
          <w:rFonts w:ascii="Times New Roman" w:hAnsi="Times New Roman" w:cs="Times New Roman"/>
          <w:sz w:val="20"/>
          <w:szCs w:val="20"/>
        </w:rPr>
        <w:t xml:space="preserve">A. </w:t>
      </w:r>
      <w:r w:rsidRPr="00D54675">
        <w:rPr>
          <w:rFonts w:ascii="Times New Roman" w:hAnsi="Times New Roman" w:cs="Times New Roman"/>
          <w:sz w:val="20"/>
          <w:szCs w:val="20"/>
        </w:rPr>
        <w:t xml:space="preserve">Jarma-Orozco &amp; </w:t>
      </w:r>
      <w:r w:rsidR="0008613D">
        <w:rPr>
          <w:rFonts w:ascii="Times New Roman" w:hAnsi="Times New Roman" w:cs="Times New Roman"/>
          <w:sz w:val="20"/>
          <w:szCs w:val="20"/>
        </w:rPr>
        <w:t xml:space="preserve">M.F. </w:t>
      </w:r>
      <w:r w:rsidRPr="00D54675">
        <w:rPr>
          <w:rFonts w:ascii="Times New Roman" w:hAnsi="Times New Roman" w:cs="Times New Roman"/>
          <w:sz w:val="20"/>
          <w:szCs w:val="20"/>
        </w:rPr>
        <w:t xml:space="preserve">Pompelli. (2021). Allometric models for non-destructive leaf area measurement of stevia: an in depth and complete analysis. Horticultura Brasileira, 39, 205-215. http://doi.org/10.1590/s0102-0536-20210212  </w:t>
      </w:r>
    </w:p>
    <w:p w14:paraId="1CAB9306" w14:textId="785E91E1"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Hynynen, J., </w:t>
      </w:r>
      <w:r w:rsidR="0008613D">
        <w:rPr>
          <w:rFonts w:ascii="Times New Roman" w:hAnsi="Times New Roman" w:cs="Times New Roman"/>
          <w:sz w:val="20"/>
          <w:szCs w:val="20"/>
        </w:rPr>
        <w:t xml:space="preserve">K. </w:t>
      </w:r>
      <w:r w:rsidRPr="00D54675">
        <w:rPr>
          <w:rFonts w:ascii="Times New Roman" w:hAnsi="Times New Roman" w:cs="Times New Roman"/>
          <w:sz w:val="20"/>
          <w:szCs w:val="20"/>
        </w:rPr>
        <w:t xml:space="preserve">Eerikäinen, </w:t>
      </w:r>
      <w:r w:rsidR="0008613D">
        <w:rPr>
          <w:rFonts w:ascii="Times New Roman" w:hAnsi="Times New Roman" w:cs="Times New Roman"/>
          <w:sz w:val="20"/>
          <w:szCs w:val="20"/>
        </w:rPr>
        <w:t>H.</w:t>
      </w:r>
      <w:r w:rsidRPr="00D54675">
        <w:rPr>
          <w:rFonts w:ascii="Times New Roman" w:hAnsi="Times New Roman" w:cs="Times New Roman"/>
          <w:sz w:val="20"/>
          <w:szCs w:val="20"/>
        </w:rPr>
        <w:t xml:space="preserve"> Eerikäinen, &amp; </w:t>
      </w:r>
      <w:r w:rsidR="0008613D">
        <w:rPr>
          <w:rFonts w:ascii="Times New Roman" w:hAnsi="Times New Roman" w:cs="Times New Roman"/>
          <w:sz w:val="20"/>
          <w:szCs w:val="20"/>
        </w:rPr>
        <w:t xml:space="preserve">S. </w:t>
      </w:r>
      <w:r w:rsidRPr="00D54675">
        <w:rPr>
          <w:rFonts w:ascii="Times New Roman" w:hAnsi="Times New Roman" w:cs="Times New Roman"/>
          <w:sz w:val="20"/>
          <w:szCs w:val="20"/>
        </w:rPr>
        <w:t>Valkonen. (2019). Growth response to cuttings in Norway spruce stands under even-aged and uneven-aged management. Forest ecology and management, 437, 314-323.</w:t>
      </w:r>
    </w:p>
    <w:p w14:paraId="7D3401C7" w14:textId="13787BDD"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Kongphapa, J., </w:t>
      </w:r>
      <w:r w:rsidR="0008613D">
        <w:rPr>
          <w:rFonts w:ascii="Times New Roman" w:hAnsi="Times New Roman" w:cs="Times New Roman"/>
          <w:sz w:val="20"/>
          <w:szCs w:val="20"/>
        </w:rPr>
        <w:t xml:space="preserve">P. </w:t>
      </w:r>
      <w:r w:rsidRPr="00D54675">
        <w:rPr>
          <w:rFonts w:ascii="Times New Roman" w:hAnsi="Times New Roman" w:cs="Times New Roman"/>
          <w:sz w:val="20"/>
          <w:szCs w:val="20"/>
        </w:rPr>
        <w:t xml:space="preserve">Chupanit, </w:t>
      </w:r>
      <w:r w:rsidR="0008613D">
        <w:rPr>
          <w:rFonts w:ascii="Times New Roman" w:hAnsi="Times New Roman" w:cs="Times New Roman"/>
          <w:sz w:val="20"/>
          <w:szCs w:val="20"/>
        </w:rPr>
        <w:t xml:space="preserve">S. </w:t>
      </w:r>
      <w:r w:rsidRPr="00D54675">
        <w:rPr>
          <w:rFonts w:ascii="Times New Roman" w:hAnsi="Times New Roman" w:cs="Times New Roman"/>
          <w:sz w:val="20"/>
          <w:szCs w:val="20"/>
        </w:rPr>
        <w:t xml:space="preserve">Anutrakulchai, </w:t>
      </w:r>
      <w:r w:rsidR="0008613D">
        <w:rPr>
          <w:rFonts w:ascii="Times New Roman" w:hAnsi="Times New Roman" w:cs="Times New Roman"/>
          <w:sz w:val="20"/>
          <w:szCs w:val="20"/>
        </w:rPr>
        <w:t xml:space="preserve">U. </w:t>
      </w:r>
      <w:r w:rsidRPr="00D54675">
        <w:rPr>
          <w:rFonts w:ascii="Times New Roman" w:hAnsi="Times New Roman" w:cs="Times New Roman"/>
          <w:sz w:val="20"/>
          <w:szCs w:val="20"/>
        </w:rPr>
        <w:t xml:space="preserve">Cha'on &amp; </w:t>
      </w:r>
      <w:r w:rsidR="0008613D">
        <w:rPr>
          <w:rFonts w:ascii="Times New Roman" w:hAnsi="Times New Roman" w:cs="Times New Roman"/>
          <w:sz w:val="20"/>
          <w:szCs w:val="20"/>
        </w:rPr>
        <w:t xml:space="preserve">P. </w:t>
      </w:r>
      <w:r w:rsidRPr="00D54675">
        <w:rPr>
          <w:rFonts w:ascii="Times New Roman" w:hAnsi="Times New Roman" w:cs="Times New Roman"/>
          <w:sz w:val="20"/>
          <w:szCs w:val="20"/>
        </w:rPr>
        <w:t>Pasuwan. (2022). Nutritional and phytochemical properties of Chaya leaves (Cnidoscolus chayamansa Mc Vaugh) planted in Northeastern Thailand. Asia-Pacific Journal of Science and Technology, 27(01). http://doi.org/10.14456/apst.2022.5</w:t>
      </w:r>
    </w:p>
    <w:p w14:paraId="4F351CC3" w14:textId="3DAEAECF"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Lakitan, B., </w:t>
      </w:r>
      <w:r w:rsidR="0008613D">
        <w:rPr>
          <w:rFonts w:ascii="Times New Roman" w:hAnsi="Times New Roman" w:cs="Times New Roman"/>
          <w:sz w:val="20"/>
          <w:szCs w:val="20"/>
        </w:rPr>
        <w:t xml:space="preserve">K. </w:t>
      </w:r>
      <w:r w:rsidRPr="00D54675">
        <w:rPr>
          <w:rFonts w:ascii="Times New Roman" w:hAnsi="Times New Roman" w:cs="Times New Roman"/>
          <w:sz w:val="20"/>
          <w:szCs w:val="20"/>
        </w:rPr>
        <w:t xml:space="preserve">Kartika, </w:t>
      </w:r>
      <w:r w:rsidR="0008613D">
        <w:rPr>
          <w:rFonts w:ascii="Times New Roman" w:hAnsi="Times New Roman" w:cs="Times New Roman"/>
          <w:sz w:val="20"/>
          <w:szCs w:val="20"/>
        </w:rPr>
        <w:t xml:space="preserve">L.L. </w:t>
      </w:r>
      <w:r w:rsidRPr="00D54675">
        <w:rPr>
          <w:rFonts w:ascii="Times New Roman" w:hAnsi="Times New Roman" w:cs="Times New Roman"/>
          <w:sz w:val="20"/>
          <w:szCs w:val="20"/>
        </w:rPr>
        <w:t xml:space="preserve">Widuri, </w:t>
      </w:r>
      <w:r w:rsidR="0008613D">
        <w:rPr>
          <w:rFonts w:ascii="Times New Roman" w:hAnsi="Times New Roman" w:cs="Times New Roman"/>
          <w:sz w:val="20"/>
          <w:szCs w:val="20"/>
        </w:rPr>
        <w:t xml:space="preserve">E. </w:t>
      </w:r>
      <w:r w:rsidRPr="00D54675">
        <w:rPr>
          <w:rFonts w:ascii="Times New Roman" w:hAnsi="Times New Roman" w:cs="Times New Roman"/>
          <w:sz w:val="20"/>
          <w:szCs w:val="20"/>
        </w:rPr>
        <w:t xml:space="preserve">Siaga &amp; </w:t>
      </w:r>
      <w:r w:rsidR="00E206C3">
        <w:rPr>
          <w:rFonts w:ascii="Times New Roman" w:hAnsi="Times New Roman" w:cs="Times New Roman"/>
          <w:sz w:val="20"/>
          <w:szCs w:val="20"/>
        </w:rPr>
        <w:t xml:space="preserve">L.N. </w:t>
      </w:r>
      <w:r w:rsidRPr="00D54675">
        <w:rPr>
          <w:rFonts w:ascii="Times New Roman" w:hAnsi="Times New Roman" w:cs="Times New Roman"/>
          <w:sz w:val="20"/>
          <w:szCs w:val="20"/>
        </w:rPr>
        <w:t xml:space="preserve">Fadilah. (2021). Lesser-known ethnic leafy vegetables Talinum paniculatum grown at tropical ecosystem: Morphological traits and non-destructive estimation of total leaf area per branch. Biodiversitas Journal of Biological Diversity, 22(10). http://doi.org/10.13057/biodiv/d221042 </w:t>
      </w:r>
    </w:p>
    <w:p w14:paraId="439D4D37" w14:textId="65A0ADA4"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Long, Y., </w:t>
      </w:r>
      <w:r w:rsidR="00E206C3">
        <w:rPr>
          <w:rFonts w:ascii="Times New Roman" w:hAnsi="Times New Roman" w:cs="Times New Roman"/>
          <w:sz w:val="20"/>
          <w:szCs w:val="20"/>
        </w:rPr>
        <w:t xml:space="preserve">L. </w:t>
      </w:r>
      <w:r w:rsidRPr="00D54675">
        <w:rPr>
          <w:rFonts w:ascii="Times New Roman" w:hAnsi="Times New Roman" w:cs="Times New Roman"/>
          <w:sz w:val="20"/>
          <w:szCs w:val="20"/>
        </w:rPr>
        <w:t xml:space="preserve">Cheddadi, </w:t>
      </w:r>
      <w:r w:rsidR="00E206C3">
        <w:rPr>
          <w:rFonts w:ascii="Times New Roman" w:hAnsi="Times New Roman" w:cs="Times New Roman"/>
          <w:sz w:val="20"/>
          <w:szCs w:val="20"/>
        </w:rPr>
        <w:t xml:space="preserve">G. </w:t>
      </w:r>
      <w:r w:rsidRPr="00D54675">
        <w:rPr>
          <w:rFonts w:ascii="Times New Roman" w:hAnsi="Times New Roman" w:cs="Times New Roman"/>
          <w:sz w:val="20"/>
          <w:szCs w:val="20"/>
        </w:rPr>
        <w:t xml:space="preserve">Mosca, </w:t>
      </w:r>
      <w:r w:rsidR="00E206C3">
        <w:rPr>
          <w:rFonts w:ascii="Times New Roman" w:hAnsi="Times New Roman" w:cs="Times New Roman"/>
          <w:sz w:val="20"/>
          <w:szCs w:val="20"/>
        </w:rPr>
        <w:t xml:space="preserve">V. </w:t>
      </w:r>
      <w:r w:rsidRPr="00D54675">
        <w:rPr>
          <w:rFonts w:ascii="Times New Roman" w:hAnsi="Times New Roman" w:cs="Times New Roman"/>
          <w:sz w:val="20"/>
          <w:szCs w:val="20"/>
        </w:rPr>
        <w:t xml:space="preserve">Mirabet, </w:t>
      </w:r>
      <w:r w:rsidR="00E206C3">
        <w:rPr>
          <w:rFonts w:ascii="Times New Roman" w:hAnsi="Times New Roman" w:cs="Times New Roman"/>
          <w:sz w:val="20"/>
          <w:szCs w:val="20"/>
        </w:rPr>
        <w:t xml:space="preserve">M. </w:t>
      </w:r>
      <w:r w:rsidRPr="00D54675">
        <w:rPr>
          <w:rFonts w:ascii="Times New Roman" w:hAnsi="Times New Roman" w:cs="Times New Roman"/>
          <w:sz w:val="20"/>
          <w:szCs w:val="20"/>
        </w:rPr>
        <w:t xml:space="preserve">Dumond, </w:t>
      </w:r>
      <w:r w:rsidR="00E206C3">
        <w:rPr>
          <w:rFonts w:ascii="Times New Roman" w:hAnsi="Times New Roman" w:cs="Times New Roman"/>
          <w:sz w:val="20"/>
          <w:szCs w:val="20"/>
        </w:rPr>
        <w:t xml:space="preserve">A. </w:t>
      </w:r>
      <w:r w:rsidRPr="00D54675">
        <w:rPr>
          <w:rFonts w:ascii="Times New Roman" w:hAnsi="Times New Roman" w:cs="Times New Roman"/>
          <w:sz w:val="20"/>
          <w:szCs w:val="20"/>
        </w:rPr>
        <w:t xml:space="preserve">Kiss, </w:t>
      </w:r>
      <w:r w:rsidR="00E206C3">
        <w:rPr>
          <w:rFonts w:ascii="Times New Roman" w:hAnsi="Times New Roman" w:cs="Times New Roman"/>
          <w:sz w:val="20"/>
          <w:szCs w:val="20"/>
        </w:rPr>
        <w:t xml:space="preserve">J. </w:t>
      </w:r>
      <w:r w:rsidRPr="00D54675">
        <w:rPr>
          <w:rFonts w:ascii="Times New Roman" w:hAnsi="Times New Roman" w:cs="Times New Roman"/>
          <w:sz w:val="20"/>
          <w:szCs w:val="20"/>
        </w:rPr>
        <w:t xml:space="preserve">Trass, </w:t>
      </w:r>
      <w:r w:rsidR="00E206C3">
        <w:rPr>
          <w:rFonts w:ascii="Times New Roman" w:hAnsi="Times New Roman" w:cs="Times New Roman"/>
          <w:sz w:val="20"/>
          <w:szCs w:val="20"/>
        </w:rPr>
        <w:t xml:space="preserve">C. </w:t>
      </w:r>
      <w:r w:rsidRPr="00D54675">
        <w:rPr>
          <w:rFonts w:ascii="Times New Roman" w:hAnsi="Times New Roman" w:cs="Times New Roman"/>
          <w:sz w:val="20"/>
          <w:szCs w:val="20"/>
        </w:rPr>
        <w:t>Godin</w:t>
      </w:r>
      <w:r w:rsidR="00E206C3">
        <w:rPr>
          <w:rFonts w:ascii="Times New Roman" w:hAnsi="Times New Roman" w:cs="Times New Roman"/>
          <w:sz w:val="20"/>
          <w:szCs w:val="20"/>
        </w:rPr>
        <w:t xml:space="preserve"> </w:t>
      </w:r>
      <w:r w:rsidRPr="00D54675">
        <w:rPr>
          <w:rFonts w:ascii="Times New Roman" w:hAnsi="Times New Roman" w:cs="Times New Roman"/>
          <w:sz w:val="20"/>
          <w:szCs w:val="20"/>
        </w:rPr>
        <w:t xml:space="preserve">&amp; </w:t>
      </w:r>
      <w:r w:rsidR="00E206C3">
        <w:rPr>
          <w:rFonts w:ascii="Times New Roman" w:hAnsi="Times New Roman" w:cs="Times New Roman"/>
          <w:sz w:val="20"/>
          <w:szCs w:val="20"/>
        </w:rPr>
        <w:t xml:space="preserve">A. </w:t>
      </w:r>
      <w:r w:rsidRPr="00D54675">
        <w:rPr>
          <w:rFonts w:ascii="Times New Roman" w:hAnsi="Times New Roman" w:cs="Times New Roman"/>
          <w:sz w:val="20"/>
          <w:szCs w:val="20"/>
        </w:rPr>
        <w:t xml:space="preserve">Boudaoud. (2020). Cellular heterogeneity in pressure and growth emerges from tissue topology and geometry. Current Biology, 30(8), 1504-1516. https://doi.org/10.1016/j.cub.2020.02.027 </w:t>
      </w:r>
    </w:p>
    <w:p w14:paraId="04A811CC" w14:textId="6A08FEE7"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Mežaka, I., </w:t>
      </w:r>
      <w:r w:rsidR="00E206C3">
        <w:rPr>
          <w:rFonts w:ascii="Times New Roman" w:hAnsi="Times New Roman" w:cs="Times New Roman"/>
          <w:sz w:val="20"/>
          <w:szCs w:val="20"/>
        </w:rPr>
        <w:t xml:space="preserve">D. </w:t>
      </w:r>
      <w:r w:rsidRPr="00D54675">
        <w:rPr>
          <w:rFonts w:ascii="Times New Roman" w:hAnsi="Times New Roman" w:cs="Times New Roman"/>
          <w:sz w:val="20"/>
          <w:szCs w:val="20"/>
        </w:rPr>
        <w:t xml:space="preserve">Kļaviņa, </w:t>
      </w:r>
      <w:r w:rsidR="00E206C3">
        <w:rPr>
          <w:rFonts w:ascii="Times New Roman" w:hAnsi="Times New Roman" w:cs="Times New Roman"/>
          <w:sz w:val="20"/>
          <w:szCs w:val="20"/>
        </w:rPr>
        <w:t xml:space="preserve">L. </w:t>
      </w:r>
      <w:r w:rsidRPr="00D54675">
        <w:rPr>
          <w:rFonts w:ascii="Times New Roman" w:hAnsi="Times New Roman" w:cs="Times New Roman"/>
          <w:sz w:val="20"/>
          <w:szCs w:val="20"/>
        </w:rPr>
        <w:t xml:space="preserve">Kaļāne &amp; </w:t>
      </w:r>
      <w:r w:rsidR="00E206C3">
        <w:rPr>
          <w:rFonts w:ascii="Times New Roman" w:hAnsi="Times New Roman" w:cs="Times New Roman"/>
          <w:sz w:val="20"/>
          <w:szCs w:val="20"/>
        </w:rPr>
        <w:t xml:space="preserve">A. </w:t>
      </w:r>
      <w:r w:rsidRPr="00D54675">
        <w:rPr>
          <w:rFonts w:ascii="Times New Roman" w:hAnsi="Times New Roman" w:cs="Times New Roman"/>
          <w:sz w:val="20"/>
          <w:szCs w:val="20"/>
        </w:rPr>
        <w:t xml:space="preserve">Kronberga. (2023). Large-Scale In Vitro Propagation and Ex Vitro Adaptation of the Endangered Medicinal Plant Eryngium maritimum L. Horticulturae, 9(2), 271. DOI: https://doi.org/10.3390/horticulturae9020271 </w:t>
      </w:r>
    </w:p>
    <w:p w14:paraId="3EBF7848" w14:textId="11D68FC1"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Munguía‐Rosas, M. A. &amp; </w:t>
      </w:r>
      <w:r w:rsidR="00E206C3">
        <w:rPr>
          <w:rFonts w:ascii="Times New Roman" w:hAnsi="Times New Roman" w:cs="Times New Roman"/>
          <w:sz w:val="20"/>
          <w:szCs w:val="20"/>
        </w:rPr>
        <w:t xml:space="preserve">M. F. </w:t>
      </w:r>
      <w:r w:rsidRPr="00D54675">
        <w:rPr>
          <w:rFonts w:ascii="Times New Roman" w:hAnsi="Times New Roman" w:cs="Times New Roman"/>
          <w:sz w:val="20"/>
          <w:szCs w:val="20"/>
        </w:rPr>
        <w:t xml:space="preserve">Jácome‐Flores. (2020). Reproductive isolation between wild and domesticated chaya (Cnidoscolus aconitifolius) in sympatry. Plant Biology, 22(5), 932-938. http://doi.org/10.1111/plb.13140 </w:t>
      </w:r>
    </w:p>
    <w:p w14:paraId="52762C56" w14:textId="61E4D426"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lastRenderedPageBreak/>
        <w:t xml:space="preserve">Nurshanti, D. F., </w:t>
      </w:r>
      <w:r w:rsidR="00E206C3">
        <w:rPr>
          <w:rFonts w:ascii="Times New Roman" w:hAnsi="Times New Roman" w:cs="Times New Roman"/>
          <w:sz w:val="20"/>
          <w:szCs w:val="20"/>
        </w:rPr>
        <w:t xml:space="preserve">B. </w:t>
      </w:r>
      <w:r w:rsidRPr="00D54675">
        <w:rPr>
          <w:rFonts w:ascii="Times New Roman" w:hAnsi="Times New Roman" w:cs="Times New Roman"/>
          <w:sz w:val="20"/>
          <w:szCs w:val="20"/>
        </w:rPr>
        <w:t xml:space="preserve">Lakitan, </w:t>
      </w:r>
      <w:r w:rsidR="00E206C3">
        <w:rPr>
          <w:rFonts w:ascii="Times New Roman" w:hAnsi="Times New Roman" w:cs="Times New Roman"/>
          <w:sz w:val="20"/>
          <w:szCs w:val="20"/>
        </w:rPr>
        <w:t xml:space="preserve">M. </w:t>
      </w:r>
      <w:r w:rsidRPr="00D54675">
        <w:rPr>
          <w:rFonts w:ascii="Times New Roman" w:hAnsi="Times New Roman" w:cs="Times New Roman"/>
          <w:sz w:val="20"/>
          <w:szCs w:val="20"/>
        </w:rPr>
        <w:t xml:space="preserve">Hasmeda, </w:t>
      </w:r>
      <w:r w:rsidR="00E206C3">
        <w:rPr>
          <w:rFonts w:ascii="Times New Roman" w:hAnsi="Times New Roman" w:cs="Times New Roman"/>
          <w:sz w:val="20"/>
          <w:szCs w:val="20"/>
        </w:rPr>
        <w:t xml:space="preserve">F. </w:t>
      </w:r>
      <w:r w:rsidRPr="00D54675">
        <w:rPr>
          <w:rFonts w:ascii="Times New Roman" w:hAnsi="Times New Roman" w:cs="Times New Roman"/>
          <w:sz w:val="20"/>
          <w:szCs w:val="20"/>
        </w:rPr>
        <w:t xml:space="preserve">Ferlinahayati, </w:t>
      </w:r>
      <w:r w:rsidR="00E206C3">
        <w:rPr>
          <w:rFonts w:ascii="Times New Roman" w:hAnsi="Times New Roman" w:cs="Times New Roman"/>
          <w:sz w:val="20"/>
          <w:szCs w:val="20"/>
        </w:rPr>
        <w:t xml:space="preserve">Z.P. </w:t>
      </w:r>
      <w:r w:rsidRPr="00D54675">
        <w:rPr>
          <w:rFonts w:ascii="Times New Roman" w:hAnsi="Times New Roman" w:cs="Times New Roman"/>
          <w:sz w:val="20"/>
          <w:szCs w:val="20"/>
        </w:rPr>
        <w:t xml:space="preserve">Negara, </w:t>
      </w:r>
      <w:r w:rsidR="00E206C3">
        <w:rPr>
          <w:rFonts w:ascii="Times New Roman" w:hAnsi="Times New Roman" w:cs="Times New Roman"/>
          <w:sz w:val="20"/>
          <w:szCs w:val="20"/>
        </w:rPr>
        <w:t xml:space="preserve">S. </w:t>
      </w:r>
      <w:r w:rsidRPr="00D54675">
        <w:rPr>
          <w:rFonts w:ascii="Times New Roman" w:hAnsi="Times New Roman" w:cs="Times New Roman"/>
          <w:sz w:val="20"/>
          <w:szCs w:val="20"/>
        </w:rPr>
        <w:t xml:space="preserve">Susilawati &amp; </w:t>
      </w:r>
      <w:r w:rsidR="00E206C3">
        <w:rPr>
          <w:rFonts w:ascii="Times New Roman" w:hAnsi="Times New Roman" w:cs="Times New Roman"/>
          <w:sz w:val="20"/>
          <w:szCs w:val="20"/>
        </w:rPr>
        <w:t xml:space="preserve">D. </w:t>
      </w:r>
      <w:r w:rsidRPr="00D54675">
        <w:rPr>
          <w:rFonts w:ascii="Times New Roman" w:hAnsi="Times New Roman" w:cs="Times New Roman"/>
          <w:sz w:val="20"/>
          <w:szCs w:val="20"/>
        </w:rPr>
        <w:t>Budianta. (2022). Planting Materials, Shading Effects, and Non-Destructive Estimation of Compound Leaf Area in Konjac (Amorphophallus Muelleri). Trends in Sciences, 19(9), 3973-3973. http://doi.org/10.48048/tis.2022.3973</w:t>
      </w:r>
    </w:p>
    <w:p w14:paraId="1A8FB257" w14:textId="6C592D0A"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O'Leary, B. M., </w:t>
      </w:r>
      <w:r w:rsidR="00E206C3">
        <w:rPr>
          <w:rFonts w:ascii="Times New Roman" w:hAnsi="Times New Roman" w:cs="Times New Roman"/>
          <w:sz w:val="20"/>
          <w:szCs w:val="20"/>
        </w:rPr>
        <w:t xml:space="preserve">S. </w:t>
      </w:r>
      <w:r w:rsidRPr="00D54675">
        <w:rPr>
          <w:rFonts w:ascii="Times New Roman" w:hAnsi="Times New Roman" w:cs="Times New Roman"/>
          <w:sz w:val="20"/>
          <w:szCs w:val="20"/>
        </w:rPr>
        <w:t xml:space="preserve">Asao, </w:t>
      </w:r>
      <w:r w:rsidR="00E206C3">
        <w:rPr>
          <w:rFonts w:ascii="Times New Roman" w:hAnsi="Times New Roman" w:cs="Times New Roman"/>
          <w:sz w:val="20"/>
          <w:szCs w:val="20"/>
        </w:rPr>
        <w:t xml:space="preserve">A. H. </w:t>
      </w:r>
      <w:r w:rsidRPr="00D54675">
        <w:rPr>
          <w:rFonts w:ascii="Times New Roman" w:hAnsi="Times New Roman" w:cs="Times New Roman"/>
          <w:sz w:val="20"/>
          <w:szCs w:val="20"/>
        </w:rPr>
        <w:t xml:space="preserve">Millar &amp; </w:t>
      </w:r>
      <w:r w:rsidR="00E206C3">
        <w:rPr>
          <w:rFonts w:ascii="Times New Roman" w:hAnsi="Times New Roman" w:cs="Times New Roman"/>
          <w:sz w:val="20"/>
          <w:szCs w:val="20"/>
        </w:rPr>
        <w:t xml:space="preserve">O.K. </w:t>
      </w:r>
      <w:r w:rsidRPr="00D54675">
        <w:rPr>
          <w:rFonts w:ascii="Times New Roman" w:hAnsi="Times New Roman" w:cs="Times New Roman"/>
          <w:sz w:val="20"/>
          <w:szCs w:val="20"/>
        </w:rPr>
        <w:t xml:space="preserve">Atkin. (2019). Core principles which explain variation in respiration across biological scales. New Phytologist,  222(Farooq1 et al.), 670-686. http://doi.org/10.1111/nph.15576 </w:t>
      </w:r>
    </w:p>
    <w:p w14:paraId="15B977F1" w14:textId="2AB1166F"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Otiende, M. A., </w:t>
      </w:r>
      <w:r w:rsidR="00E206C3">
        <w:rPr>
          <w:rFonts w:ascii="Times New Roman" w:hAnsi="Times New Roman" w:cs="Times New Roman"/>
          <w:sz w:val="20"/>
          <w:szCs w:val="20"/>
        </w:rPr>
        <w:t xml:space="preserve">J.O. </w:t>
      </w:r>
      <w:r w:rsidRPr="00D54675">
        <w:rPr>
          <w:rFonts w:ascii="Times New Roman" w:hAnsi="Times New Roman" w:cs="Times New Roman"/>
          <w:sz w:val="20"/>
          <w:szCs w:val="20"/>
        </w:rPr>
        <w:t xml:space="preserve">Nyabundi, </w:t>
      </w:r>
      <w:r w:rsidR="00E206C3">
        <w:rPr>
          <w:rFonts w:ascii="Times New Roman" w:hAnsi="Times New Roman" w:cs="Times New Roman"/>
          <w:sz w:val="20"/>
          <w:szCs w:val="20"/>
        </w:rPr>
        <w:t xml:space="preserve">K. </w:t>
      </w:r>
      <w:r w:rsidRPr="00D54675">
        <w:rPr>
          <w:rFonts w:ascii="Times New Roman" w:hAnsi="Times New Roman" w:cs="Times New Roman"/>
          <w:sz w:val="20"/>
          <w:szCs w:val="20"/>
        </w:rPr>
        <w:t xml:space="preserve">Ngamau &amp; </w:t>
      </w:r>
      <w:r w:rsidR="00E206C3">
        <w:rPr>
          <w:rFonts w:ascii="Times New Roman" w:hAnsi="Times New Roman" w:cs="Times New Roman"/>
          <w:sz w:val="20"/>
          <w:szCs w:val="20"/>
        </w:rPr>
        <w:t xml:space="preserve">P. </w:t>
      </w:r>
      <w:r w:rsidRPr="00D54675">
        <w:rPr>
          <w:rFonts w:ascii="Times New Roman" w:hAnsi="Times New Roman" w:cs="Times New Roman"/>
          <w:sz w:val="20"/>
          <w:szCs w:val="20"/>
        </w:rPr>
        <w:t xml:space="preserve">Opala. (2017). Effects of cutting position of rose rootstock cultivars on rooting and its relationship with mineral nutrient content and endogenous carbohydrates. Scientia Horticulturae, 225, 204–212, http://doi.org/10.1016/j.scienta.2017.07.009  </w:t>
      </w:r>
    </w:p>
    <w:p w14:paraId="073B2535" w14:textId="151B38F9"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Pamungkas, D., </w:t>
      </w:r>
      <w:r w:rsidR="00E206C3">
        <w:rPr>
          <w:rFonts w:ascii="Times New Roman" w:hAnsi="Times New Roman" w:cs="Times New Roman"/>
          <w:sz w:val="20"/>
          <w:szCs w:val="20"/>
        </w:rPr>
        <w:t xml:space="preserve">A. </w:t>
      </w:r>
      <w:r w:rsidRPr="00D54675">
        <w:rPr>
          <w:rFonts w:ascii="Times New Roman" w:hAnsi="Times New Roman" w:cs="Times New Roman"/>
          <w:sz w:val="20"/>
          <w:szCs w:val="20"/>
        </w:rPr>
        <w:t xml:space="preserve">Umroni &amp; </w:t>
      </w:r>
      <w:r w:rsidR="00E206C3">
        <w:rPr>
          <w:rFonts w:ascii="Times New Roman" w:hAnsi="Times New Roman" w:cs="Times New Roman"/>
          <w:sz w:val="20"/>
          <w:szCs w:val="20"/>
        </w:rPr>
        <w:t xml:space="preserve">N.A. </w:t>
      </w:r>
      <w:r w:rsidRPr="00D54675">
        <w:rPr>
          <w:rFonts w:ascii="Times New Roman" w:hAnsi="Times New Roman" w:cs="Times New Roman"/>
          <w:sz w:val="20"/>
          <w:szCs w:val="20"/>
        </w:rPr>
        <w:t xml:space="preserve">Prasetyo. (2021). Effect Of Stem Diameter, Media Type And Light Intensity On The Growth Of Medicinal Plant Of Screw Tree/Kayu Ules (Helicteres isora Linn.). Indonesian Journal of Forestry Research, 8(Farooq1 et al.), 213-227. http://doi.org/10.20886/ijfr.2021.8.2.213-227  </w:t>
      </w:r>
    </w:p>
    <w:p w14:paraId="030F0EC4" w14:textId="44128E3B"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Pandey, R., </w:t>
      </w:r>
      <w:r w:rsidR="00E206C3">
        <w:rPr>
          <w:rFonts w:ascii="Times New Roman" w:hAnsi="Times New Roman" w:cs="Times New Roman"/>
          <w:sz w:val="20"/>
          <w:szCs w:val="20"/>
        </w:rPr>
        <w:t xml:space="preserve">V. </w:t>
      </w:r>
      <w:r w:rsidRPr="00D54675">
        <w:rPr>
          <w:rFonts w:ascii="Times New Roman" w:hAnsi="Times New Roman" w:cs="Times New Roman"/>
          <w:sz w:val="20"/>
          <w:szCs w:val="20"/>
        </w:rPr>
        <w:t xml:space="preserve">Paul, </w:t>
      </w:r>
      <w:r w:rsidR="00E206C3">
        <w:rPr>
          <w:rFonts w:ascii="Times New Roman" w:hAnsi="Times New Roman" w:cs="Times New Roman"/>
          <w:sz w:val="20"/>
          <w:szCs w:val="20"/>
        </w:rPr>
        <w:t xml:space="preserve">M. </w:t>
      </w:r>
      <w:r w:rsidRPr="00D54675">
        <w:rPr>
          <w:rFonts w:ascii="Times New Roman" w:hAnsi="Times New Roman" w:cs="Times New Roman"/>
          <w:sz w:val="20"/>
          <w:szCs w:val="20"/>
        </w:rPr>
        <w:t xml:space="preserve">Das, </w:t>
      </w:r>
      <w:r w:rsidR="00E206C3">
        <w:rPr>
          <w:rFonts w:ascii="Times New Roman" w:hAnsi="Times New Roman" w:cs="Times New Roman"/>
          <w:sz w:val="20"/>
          <w:szCs w:val="20"/>
        </w:rPr>
        <w:t xml:space="preserve">M. </w:t>
      </w:r>
      <w:r w:rsidRPr="00D54675">
        <w:rPr>
          <w:rFonts w:ascii="Times New Roman" w:hAnsi="Times New Roman" w:cs="Times New Roman"/>
          <w:sz w:val="20"/>
          <w:szCs w:val="20"/>
        </w:rPr>
        <w:t xml:space="preserve">Meena and </w:t>
      </w:r>
      <w:r w:rsidR="00E206C3">
        <w:rPr>
          <w:rFonts w:ascii="Times New Roman" w:hAnsi="Times New Roman" w:cs="Times New Roman"/>
          <w:sz w:val="20"/>
          <w:szCs w:val="20"/>
        </w:rPr>
        <w:t xml:space="preserve">R.C. </w:t>
      </w:r>
      <w:r w:rsidRPr="00D54675">
        <w:rPr>
          <w:rFonts w:ascii="Times New Roman" w:hAnsi="Times New Roman" w:cs="Times New Roman"/>
          <w:sz w:val="20"/>
          <w:szCs w:val="20"/>
        </w:rPr>
        <w:t>Meena. (2017). Plant Growth Analysis. In "Manual of ICAR Sponsored Training Programme for Technical Staff of ICAR Institutes on “Physiological Techniques to Analyze the Impact of Climate Change on Crop Plants”" (V. Paul, R. Pandey  and M. Pal eds.). Division of Plant Physiology, ICAR-Indian Agricultural Research Institute (IARI), New Delhi, India.</w:t>
      </w:r>
    </w:p>
    <w:p w14:paraId="73B624A1" w14:textId="56B6EEB2"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Panghal, A., </w:t>
      </w:r>
      <w:r w:rsidR="00E206C3">
        <w:rPr>
          <w:rFonts w:ascii="Times New Roman" w:hAnsi="Times New Roman" w:cs="Times New Roman"/>
          <w:sz w:val="20"/>
          <w:szCs w:val="20"/>
        </w:rPr>
        <w:t xml:space="preserve">A.O. </w:t>
      </w:r>
      <w:r w:rsidRPr="00D54675">
        <w:rPr>
          <w:rFonts w:ascii="Times New Roman" w:hAnsi="Times New Roman" w:cs="Times New Roman"/>
          <w:sz w:val="20"/>
          <w:szCs w:val="20"/>
        </w:rPr>
        <w:t xml:space="preserve">Shaji, </w:t>
      </w:r>
      <w:r w:rsidR="00E206C3">
        <w:rPr>
          <w:rFonts w:ascii="Times New Roman" w:hAnsi="Times New Roman" w:cs="Times New Roman"/>
          <w:sz w:val="20"/>
          <w:szCs w:val="20"/>
        </w:rPr>
        <w:t xml:space="preserve">K. </w:t>
      </w:r>
      <w:r w:rsidRPr="00D54675">
        <w:rPr>
          <w:rFonts w:ascii="Times New Roman" w:hAnsi="Times New Roman" w:cs="Times New Roman"/>
          <w:sz w:val="20"/>
          <w:szCs w:val="20"/>
        </w:rPr>
        <w:t xml:space="preserve">Nain, </w:t>
      </w:r>
      <w:r w:rsidR="00E206C3">
        <w:rPr>
          <w:rFonts w:ascii="Times New Roman" w:hAnsi="Times New Roman" w:cs="Times New Roman"/>
          <w:sz w:val="20"/>
          <w:szCs w:val="20"/>
        </w:rPr>
        <w:t xml:space="preserve">M.K. </w:t>
      </w:r>
      <w:r w:rsidRPr="00D54675">
        <w:rPr>
          <w:rFonts w:ascii="Times New Roman" w:hAnsi="Times New Roman" w:cs="Times New Roman"/>
          <w:sz w:val="20"/>
          <w:szCs w:val="20"/>
        </w:rPr>
        <w:t xml:space="preserve">Garg &amp; </w:t>
      </w:r>
      <w:r w:rsidR="00E206C3">
        <w:rPr>
          <w:rFonts w:ascii="Times New Roman" w:hAnsi="Times New Roman" w:cs="Times New Roman"/>
          <w:sz w:val="20"/>
          <w:szCs w:val="20"/>
        </w:rPr>
        <w:t xml:space="preserve">N. </w:t>
      </w:r>
      <w:r w:rsidRPr="00D54675">
        <w:rPr>
          <w:rFonts w:ascii="Times New Roman" w:hAnsi="Times New Roman" w:cs="Times New Roman"/>
          <w:sz w:val="20"/>
          <w:szCs w:val="20"/>
        </w:rPr>
        <w:t xml:space="preserve">Chhikara. (2021). Cnidoscolus aconitifolius: Nutritional, phytochemical composition and health benefits–A review. Bioactive Compounds in Health and Disease, 4(11), 260-286. https://doi.org/10.31989/bchd.v4i11.865 </w:t>
      </w:r>
    </w:p>
    <w:p w14:paraId="2DA833DF" w14:textId="46AC46EA"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Prajanban, B. O. &amp; </w:t>
      </w:r>
      <w:r w:rsidR="00E206C3">
        <w:rPr>
          <w:rFonts w:ascii="Times New Roman" w:hAnsi="Times New Roman" w:cs="Times New Roman"/>
          <w:sz w:val="20"/>
          <w:szCs w:val="20"/>
        </w:rPr>
        <w:t xml:space="preserve">N. </w:t>
      </w:r>
      <w:r w:rsidRPr="00D54675">
        <w:rPr>
          <w:rFonts w:ascii="Times New Roman" w:hAnsi="Times New Roman" w:cs="Times New Roman"/>
          <w:sz w:val="20"/>
          <w:szCs w:val="20"/>
        </w:rPr>
        <w:t>Fangkrathok. (2022). In vitro Study of Cnidoscolus aconitifolius Leaf Extracts on Foam Cells and their Antioxidant. Pharmacognosy Research, 14(Farooq1 et al.). 121-126. https://doi.org/10.5530/pres.14.2.17</w:t>
      </w:r>
    </w:p>
    <w:p w14:paraId="28DAB47A" w14:textId="3128388C"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Ramírez Rodrigues. M. M., </w:t>
      </w:r>
      <w:r w:rsidR="00E206C3">
        <w:rPr>
          <w:rFonts w:ascii="Times New Roman" w:hAnsi="Times New Roman" w:cs="Times New Roman"/>
          <w:sz w:val="20"/>
          <w:szCs w:val="20"/>
        </w:rPr>
        <w:t xml:space="preserve">J.C. </w:t>
      </w:r>
      <w:r w:rsidRPr="00D54675">
        <w:rPr>
          <w:rFonts w:ascii="Times New Roman" w:hAnsi="Times New Roman" w:cs="Times New Roman"/>
          <w:sz w:val="20"/>
          <w:szCs w:val="20"/>
        </w:rPr>
        <w:t xml:space="preserve">Metri Ojeda, </w:t>
      </w:r>
      <w:r w:rsidR="00E206C3">
        <w:rPr>
          <w:rFonts w:ascii="Times New Roman" w:hAnsi="Times New Roman" w:cs="Times New Roman"/>
          <w:sz w:val="20"/>
          <w:szCs w:val="20"/>
        </w:rPr>
        <w:t xml:space="preserve">M. </w:t>
      </w:r>
      <w:r w:rsidRPr="00D54675">
        <w:rPr>
          <w:rFonts w:ascii="Times New Roman" w:hAnsi="Times New Roman" w:cs="Times New Roman"/>
          <w:sz w:val="20"/>
          <w:szCs w:val="20"/>
        </w:rPr>
        <w:t xml:space="preserve">González Díaz &amp; </w:t>
      </w:r>
      <w:r w:rsidR="00E206C3">
        <w:rPr>
          <w:rFonts w:ascii="Times New Roman" w:hAnsi="Times New Roman" w:cs="Times New Roman"/>
          <w:sz w:val="20"/>
          <w:szCs w:val="20"/>
        </w:rPr>
        <w:t xml:space="preserve">D.K. </w:t>
      </w:r>
      <w:r w:rsidRPr="00D54675">
        <w:rPr>
          <w:rFonts w:ascii="Times New Roman" w:hAnsi="Times New Roman" w:cs="Times New Roman"/>
          <w:sz w:val="20"/>
          <w:szCs w:val="20"/>
        </w:rPr>
        <w:t xml:space="preserve">Baigts Allende. (2021). Use of Chaya (Cnidoscolous chayamansa) Leaves for Nutritional Compounds Production for Human Consumption. Journal of the Mexican Chemical Society, 65(Farooq1 et al.), 118-128. DOI: http://doi.org/10.29356/jmcs.v65i1.1433 </w:t>
      </w:r>
    </w:p>
    <w:p w14:paraId="694A6437" w14:textId="789CEF8F"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Remison, S. U., </w:t>
      </w:r>
      <w:r w:rsidR="00E206C3">
        <w:rPr>
          <w:rFonts w:ascii="Times New Roman" w:hAnsi="Times New Roman" w:cs="Times New Roman"/>
          <w:sz w:val="20"/>
          <w:szCs w:val="20"/>
        </w:rPr>
        <w:t xml:space="preserve">E. </w:t>
      </w:r>
      <w:r w:rsidRPr="00D54675">
        <w:rPr>
          <w:rFonts w:ascii="Times New Roman" w:hAnsi="Times New Roman" w:cs="Times New Roman"/>
          <w:sz w:val="20"/>
          <w:szCs w:val="20"/>
        </w:rPr>
        <w:t xml:space="preserve">Omorodion &amp; </w:t>
      </w:r>
      <w:r w:rsidR="00E206C3">
        <w:rPr>
          <w:rFonts w:ascii="Times New Roman" w:hAnsi="Times New Roman" w:cs="Times New Roman"/>
          <w:sz w:val="20"/>
          <w:szCs w:val="20"/>
        </w:rPr>
        <w:t xml:space="preserve">E.K. </w:t>
      </w:r>
      <w:r w:rsidRPr="00D54675">
        <w:rPr>
          <w:rFonts w:ascii="Times New Roman" w:hAnsi="Times New Roman" w:cs="Times New Roman"/>
          <w:sz w:val="20"/>
          <w:szCs w:val="20"/>
        </w:rPr>
        <w:t>Eifedyi. (2015). A re-examination of the effects of length of stem cuttings on the growth and yield of cassava (Manihot esculenta Crantz), Nigerian Ann Nat Sci, 15, 9-13.</w:t>
      </w:r>
    </w:p>
    <w:p w14:paraId="65F37F26" w14:textId="4470D3EA"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Ross-Ibarra, J. &amp; </w:t>
      </w:r>
      <w:r w:rsidR="00E206C3">
        <w:rPr>
          <w:rFonts w:ascii="Times New Roman" w:hAnsi="Times New Roman" w:cs="Times New Roman"/>
          <w:sz w:val="20"/>
          <w:szCs w:val="20"/>
        </w:rPr>
        <w:t xml:space="preserve">A. </w:t>
      </w:r>
      <w:r w:rsidRPr="00D54675">
        <w:rPr>
          <w:rFonts w:ascii="Times New Roman" w:hAnsi="Times New Roman" w:cs="Times New Roman"/>
          <w:sz w:val="20"/>
          <w:szCs w:val="20"/>
        </w:rPr>
        <w:t xml:space="preserve">Molina-Cruz. (2002). The ethnobotany of chaya (Cnidoscolus aconitifolius ssp): a nutritious maya vegetable. Economic Botany, 56(Farooq1 et al.), 350-365. http://doi.org/10.2307/4256607  </w:t>
      </w:r>
    </w:p>
    <w:p w14:paraId="4961C798" w14:textId="10C825FD"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Salazar, J. C. S., </w:t>
      </w:r>
      <w:r w:rsidR="00E206C3">
        <w:rPr>
          <w:rFonts w:ascii="Times New Roman" w:hAnsi="Times New Roman" w:cs="Times New Roman"/>
          <w:sz w:val="20"/>
          <w:szCs w:val="20"/>
        </w:rPr>
        <w:t xml:space="preserve">L.M. </w:t>
      </w:r>
      <w:r w:rsidRPr="00D54675">
        <w:rPr>
          <w:rFonts w:ascii="Times New Roman" w:hAnsi="Times New Roman" w:cs="Times New Roman"/>
          <w:sz w:val="20"/>
          <w:szCs w:val="20"/>
        </w:rPr>
        <w:t xml:space="preserve">Melgarejo, </w:t>
      </w:r>
      <w:r w:rsidR="00E206C3">
        <w:rPr>
          <w:rFonts w:ascii="Times New Roman" w:hAnsi="Times New Roman" w:cs="Times New Roman"/>
          <w:sz w:val="20"/>
          <w:szCs w:val="20"/>
        </w:rPr>
        <w:t xml:space="preserve">E.H.D. </w:t>
      </w:r>
      <w:r w:rsidRPr="00D54675">
        <w:rPr>
          <w:rFonts w:ascii="Times New Roman" w:hAnsi="Times New Roman" w:cs="Times New Roman"/>
          <w:sz w:val="20"/>
          <w:szCs w:val="20"/>
        </w:rPr>
        <w:t xml:space="preserve">Melgarejo, </w:t>
      </w:r>
      <w:r w:rsidR="00E206C3">
        <w:rPr>
          <w:rFonts w:ascii="Times New Roman" w:hAnsi="Times New Roman" w:cs="Times New Roman"/>
          <w:sz w:val="20"/>
          <w:szCs w:val="20"/>
        </w:rPr>
        <w:t xml:space="preserve">J.A. </w:t>
      </w:r>
      <w:r w:rsidRPr="00D54675">
        <w:rPr>
          <w:rFonts w:ascii="Times New Roman" w:hAnsi="Times New Roman" w:cs="Times New Roman"/>
          <w:sz w:val="20"/>
          <w:szCs w:val="20"/>
        </w:rPr>
        <w:t xml:space="preserve">Di Rienzo &amp; </w:t>
      </w:r>
      <w:r w:rsidR="00E206C3">
        <w:rPr>
          <w:rFonts w:ascii="Times New Roman" w:hAnsi="Times New Roman" w:cs="Times New Roman"/>
          <w:sz w:val="20"/>
          <w:szCs w:val="20"/>
        </w:rPr>
        <w:t xml:space="preserve">F. </w:t>
      </w:r>
      <w:r w:rsidRPr="00D54675">
        <w:rPr>
          <w:rFonts w:ascii="Times New Roman" w:hAnsi="Times New Roman" w:cs="Times New Roman"/>
          <w:sz w:val="20"/>
          <w:szCs w:val="20"/>
        </w:rPr>
        <w:t xml:space="preserve">CasanovesF. (2018). Non-destructive estimation of the leaf weight and leaf area in cacao (Theobroma cacao L.). Scientia Horticulturae, 229, 19-24. https://doi.org/10.1016/j.scienta.2017.10.034 </w:t>
      </w:r>
    </w:p>
    <w:p w14:paraId="4732F68C" w14:textId="43EF2830"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Salazar-Villa, E., </w:t>
      </w:r>
      <w:r w:rsidR="00E206C3">
        <w:rPr>
          <w:rFonts w:ascii="Times New Roman" w:hAnsi="Times New Roman" w:cs="Times New Roman"/>
          <w:sz w:val="20"/>
          <w:szCs w:val="20"/>
        </w:rPr>
        <w:t xml:space="preserve">M.A. </w:t>
      </w:r>
      <w:r w:rsidRPr="00D54675">
        <w:rPr>
          <w:rFonts w:ascii="Times New Roman" w:hAnsi="Times New Roman" w:cs="Times New Roman"/>
          <w:sz w:val="20"/>
          <w:szCs w:val="20"/>
        </w:rPr>
        <w:t xml:space="preserve">Angulo-Escalante, </w:t>
      </w:r>
      <w:r w:rsidR="00E206C3">
        <w:rPr>
          <w:rFonts w:ascii="Times New Roman" w:hAnsi="Times New Roman" w:cs="Times New Roman"/>
          <w:sz w:val="20"/>
          <w:szCs w:val="20"/>
        </w:rPr>
        <w:t xml:space="preserve">J.D. </w:t>
      </w:r>
      <w:r w:rsidRPr="00D54675">
        <w:rPr>
          <w:rFonts w:ascii="Times New Roman" w:hAnsi="Times New Roman" w:cs="Times New Roman"/>
          <w:sz w:val="20"/>
          <w:szCs w:val="20"/>
        </w:rPr>
        <w:t xml:space="preserve">Castro-Valenzuela, </w:t>
      </w:r>
      <w:r w:rsidR="00E206C3">
        <w:rPr>
          <w:rFonts w:ascii="Times New Roman" w:hAnsi="Times New Roman" w:cs="Times New Roman"/>
          <w:sz w:val="20"/>
          <w:szCs w:val="20"/>
        </w:rPr>
        <w:t xml:space="preserve">KM. </w:t>
      </w:r>
      <w:r w:rsidRPr="00D54675">
        <w:rPr>
          <w:rFonts w:ascii="Times New Roman" w:hAnsi="Times New Roman" w:cs="Times New Roman"/>
          <w:sz w:val="20"/>
          <w:szCs w:val="20"/>
        </w:rPr>
        <w:t xml:space="preserve">Báez-Parra, </w:t>
      </w:r>
      <w:r w:rsidR="00E206C3">
        <w:rPr>
          <w:rFonts w:ascii="Times New Roman" w:hAnsi="Times New Roman" w:cs="Times New Roman"/>
          <w:sz w:val="20"/>
          <w:szCs w:val="20"/>
        </w:rPr>
        <w:t xml:space="preserve">L.D.A.A. </w:t>
      </w:r>
      <w:r w:rsidRPr="00D54675">
        <w:rPr>
          <w:rFonts w:ascii="Times New Roman" w:hAnsi="Times New Roman" w:cs="Times New Roman"/>
          <w:sz w:val="20"/>
          <w:szCs w:val="20"/>
        </w:rPr>
        <w:t xml:space="preserve">Soriano-Melgar &amp; </w:t>
      </w:r>
      <w:r w:rsidR="00E206C3">
        <w:rPr>
          <w:rFonts w:ascii="Times New Roman" w:hAnsi="Times New Roman" w:cs="Times New Roman"/>
          <w:sz w:val="20"/>
          <w:szCs w:val="20"/>
        </w:rPr>
        <w:t xml:space="preserve">F. </w:t>
      </w:r>
      <w:r w:rsidRPr="00D54675">
        <w:rPr>
          <w:rFonts w:ascii="Times New Roman" w:hAnsi="Times New Roman" w:cs="Times New Roman"/>
          <w:sz w:val="20"/>
          <w:szCs w:val="20"/>
        </w:rPr>
        <w:t xml:space="preserve">Soto-Landeros. (2021). Rooting of Stem Cuttings of Jatropha platyphylla (Euphorbiaceae) in the Obtaining of Axillary Buds for Grafting. American Journal of Plant Sciences, 12(12), 1880-1893.  http://doi.org/10.4236/ajps.2021.1212130  </w:t>
      </w:r>
    </w:p>
    <w:p w14:paraId="09293B05" w14:textId="233254DD"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Sahoo, G., </w:t>
      </w:r>
      <w:r w:rsidR="00E206C3">
        <w:rPr>
          <w:rFonts w:ascii="Times New Roman" w:hAnsi="Times New Roman" w:cs="Times New Roman"/>
          <w:sz w:val="20"/>
          <w:szCs w:val="20"/>
        </w:rPr>
        <w:t xml:space="preserve">S.L. </w:t>
      </w:r>
      <w:r w:rsidRPr="00D54675">
        <w:rPr>
          <w:rFonts w:ascii="Times New Roman" w:hAnsi="Times New Roman" w:cs="Times New Roman"/>
          <w:sz w:val="20"/>
          <w:szCs w:val="20"/>
        </w:rPr>
        <w:t xml:space="preserve">Swamy, </w:t>
      </w:r>
      <w:r w:rsidR="00E206C3">
        <w:rPr>
          <w:rFonts w:ascii="Times New Roman" w:hAnsi="Times New Roman" w:cs="Times New Roman"/>
          <w:sz w:val="20"/>
          <w:szCs w:val="20"/>
        </w:rPr>
        <w:t xml:space="preserve">A.K. </w:t>
      </w:r>
      <w:r w:rsidRPr="00D54675">
        <w:rPr>
          <w:rFonts w:ascii="Times New Roman" w:hAnsi="Times New Roman" w:cs="Times New Roman"/>
          <w:sz w:val="20"/>
          <w:szCs w:val="20"/>
        </w:rPr>
        <w:t xml:space="preserve">Singh &amp; </w:t>
      </w:r>
      <w:r w:rsidR="00E206C3">
        <w:rPr>
          <w:rFonts w:ascii="Times New Roman" w:hAnsi="Times New Roman" w:cs="Times New Roman"/>
          <w:sz w:val="20"/>
          <w:szCs w:val="20"/>
        </w:rPr>
        <w:t xml:space="preserve">A. </w:t>
      </w:r>
      <w:r w:rsidRPr="00D54675">
        <w:rPr>
          <w:rFonts w:ascii="Times New Roman" w:hAnsi="Times New Roman" w:cs="Times New Roman"/>
          <w:sz w:val="20"/>
          <w:szCs w:val="20"/>
        </w:rPr>
        <w:t xml:space="preserve">Mishra. (2021). Propagation of Pongamia pinnata (L.) Pierre: Effect of auxins, age, season and C/N ratio on rooting of stem cuttings,  Trees, Forests and People, 5, 1-8, http://doi.org/10.1016/j.tfp.2021.100091 </w:t>
      </w:r>
    </w:p>
    <w:p w14:paraId="0DC9E059" w14:textId="5CBF45A5"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Schoffel, A., </w:t>
      </w:r>
      <w:r w:rsidR="00E206C3">
        <w:rPr>
          <w:rFonts w:ascii="Times New Roman" w:hAnsi="Times New Roman" w:cs="Times New Roman"/>
          <w:sz w:val="20"/>
          <w:szCs w:val="20"/>
        </w:rPr>
        <w:t xml:space="preserve">S.J. </w:t>
      </w:r>
      <w:r w:rsidRPr="00D54675">
        <w:rPr>
          <w:rFonts w:ascii="Times New Roman" w:hAnsi="Times New Roman" w:cs="Times New Roman"/>
          <w:sz w:val="20"/>
          <w:szCs w:val="20"/>
        </w:rPr>
        <w:t xml:space="preserve">Lopes, </w:t>
      </w:r>
      <w:r w:rsidR="00E206C3">
        <w:rPr>
          <w:rFonts w:ascii="Times New Roman" w:hAnsi="Times New Roman" w:cs="Times New Roman"/>
          <w:sz w:val="20"/>
          <w:szCs w:val="20"/>
        </w:rPr>
        <w:t>J.</w:t>
      </w:r>
      <w:r w:rsidRPr="00D54675">
        <w:rPr>
          <w:rFonts w:ascii="Times New Roman" w:hAnsi="Times New Roman" w:cs="Times New Roman"/>
          <w:sz w:val="20"/>
          <w:szCs w:val="20"/>
        </w:rPr>
        <w:t xml:space="preserve"> Koefender, </w:t>
      </w:r>
      <w:r w:rsidR="00E206C3">
        <w:rPr>
          <w:rFonts w:ascii="Times New Roman" w:hAnsi="Times New Roman" w:cs="Times New Roman"/>
          <w:sz w:val="20"/>
          <w:szCs w:val="20"/>
        </w:rPr>
        <w:t xml:space="preserve">A.D.C. </w:t>
      </w:r>
      <w:r w:rsidRPr="00D54675">
        <w:rPr>
          <w:rFonts w:ascii="Times New Roman" w:hAnsi="Times New Roman" w:cs="Times New Roman"/>
          <w:sz w:val="20"/>
          <w:szCs w:val="20"/>
        </w:rPr>
        <w:t>Lúcio,</w:t>
      </w:r>
      <w:r w:rsidR="00E206C3">
        <w:rPr>
          <w:rFonts w:ascii="Times New Roman" w:hAnsi="Times New Roman" w:cs="Times New Roman"/>
          <w:sz w:val="20"/>
          <w:szCs w:val="20"/>
        </w:rPr>
        <w:t xml:space="preserve"> J.N.</w:t>
      </w:r>
      <w:r w:rsidRPr="00D54675">
        <w:rPr>
          <w:rFonts w:ascii="Times New Roman" w:hAnsi="Times New Roman" w:cs="Times New Roman"/>
          <w:sz w:val="20"/>
          <w:szCs w:val="20"/>
        </w:rPr>
        <w:t xml:space="preserve"> Camera &amp; </w:t>
      </w:r>
      <w:r w:rsidR="00E206C3">
        <w:rPr>
          <w:rFonts w:ascii="Times New Roman" w:hAnsi="Times New Roman" w:cs="Times New Roman"/>
          <w:sz w:val="20"/>
          <w:szCs w:val="20"/>
        </w:rPr>
        <w:t xml:space="preserve">D.P. </w:t>
      </w:r>
      <w:r w:rsidRPr="00D54675">
        <w:rPr>
          <w:rFonts w:ascii="Times New Roman" w:hAnsi="Times New Roman" w:cs="Times New Roman"/>
          <w:sz w:val="20"/>
          <w:szCs w:val="20"/>
        </w:rPr>
        <w:t xml:space="preserve">Golle. (2020). Sample size for estimation of averages of agronomic traits in cassava seedlings. International Journal for Innovation Education and Research, 8(5), 73-82.  DOI: https://doi.org/10.31686/ijier.vol8.iss5.2312 </w:t>
      </w:r>
    </w:p>
    <w:p w14:paraId="14B06C49" w14:textId="09A2FD9B"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Schwarcz, H. P., </w:t>
      </w:r>
      <w:r w:rsidR="00716EF3">
        <w:rPr>
          <w:rFonts w:ascii="Times New Roman" w:hAnsi="Times New Roman" w:cs="Times New Roman"/>
          <w:sz w:val="20"/>
          <w:szCs w:val="20"/>
        </w:rPr>
        <w:t xml:space="preserve">A. </w:t>
      </w:r>
      <w:r w:rsidRPr="00D54675">
        <w:rPr>
          <w:rFonts w:ascii="Times New Roman" w:hAnsi="Times New Roman" w:cs="Times New Roman"/>
          <w:sz w:val="20"/>
          <w:szCs w:val="20"/>
        </w:rPr>
        <w:t>Ford</w:t>
      </w:r>
      <w:r w:rsidR="00716EF3">
        <w:rPr>
          <w:rFonts w:ascii="Times New Roman" w:hAnsi="Times New Roman" w:cs="Times New Roman"/>
          <w:sz w:val="20"/>
          <w:szCs w:val="20"/>
        </w:rPr>
        <w:t>,</w:t>
      </w:r>
      <w:r w:rsidRPr="00D54675">
        <w:rPr>
          <w:rFonts w:ascii="Times New Roman" w:hAnsi="Times New Roman" w:cs="Times New Roman"/>
          <w:sz w:val="20"/>
          <w:szCs w:val="20"/>
        </w:rPr>
        <w:t xml:space="preserve"> </w:t>
      </w:r>
      <w:r w:rsidR="00716EF3">
        <w:rPr>
          <w:rFonts w:ascii="Times New Roman" w:hAnsi="Times New Roman" w:cs="Times New Roman"/>
          <w:sz w:val="20"/>
          <w:szCs w:val="20"/>
        </w:rPr>
        <w:t xml:space="preserve">M. </w:t>
      </w:r>
      <w:r w:rsidRPr="00D54675">
        <w:rPr>
          <w:rFonts w:ascii="Times New Roman" w:hAnsi="Times New Roman" w:cs="Times New Roman"/>
          <w:sz w:val="20"/>
          <w:szCs w:val="20"/>
        </w:rPr>
        <w:t xml:space="preserve">Knyf &amp; </w:t>
      </w:r>
      <w:r w:rsidR="00716EF3">
        <w:rPr>
          <w:rFonts w:ascii="Times New Roman" w:hAnsi="Times New Roman" w:cs="Times New Roman"/>
          <w:sz w:val="20"/>
          <w:szCs w:val="20"/>
        </w:rPr>
        <w:t xml:space="preserve">A. </w:t>
      </w:r>
      <w:r w:rsidRPr="00D54675">
        <w:rPr>
          <w:rFonts w:ascii="Times New Roman" w:hAnsi="Times New Roman" w:cs="Times New Roman"/>
          <w:sz w:val="20"/>
          <w:szCs w:val="20"/>
        </w:rPr>
        <w:t xml:space="preserve">Kumar. (2021). The Green Deer: Chaya as a Potential Source of Protein for the Ancient Maya. Latin American Antiquity, 1-12. http://doi.org/10.1017/laq.2021.71 </w:t>
      </w:r>
    </w:p>
    <w:p w14:paraId="4F36D79A" w14:textId="4EEC312A"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lastRenderedPageBreak/>
        <w:t xml:space="preserve">Shi, P., Yu, K., </w:t>
      </w:r>
      <w:r w:rsidR="00716EF3" w:rsidRPr="00716EF3">
        <w:rPr>
          <w:rFonts w:ascii="Times New Roman" w:hAnsi="Times New Roman" w:cs="Times New Roman"/>
          <w:sz w:val="20"/>
          <w:szCs w:val="20"/>
        </w:rPr>
        <w:t>Ü</w:t>
      </w:r>
      <w:r w:rsidR="00716EF3">
        <w:rPr>
          <w:rFonts w:ascii="Times New Roman" w:hAnsi="Times New Roman" w:cs="Times New Roman"/>
          <w:sz w:val="20"/>
          <w:szCs w:val="20"/>
        </w:rPr>
        <w:t>.</w:t>
      </w:r>
      <w:r w:rsidR="00716EF3" w:rsidRPr="00716EF3">
        <w:rPr>
          <w:rFonts w:ascii="Times New Roman" w:hAnsi="Times New Roman" w:cs="Times New Roman"/>
          <w:sz w:val="20"/>
          <w:szCs w:val="20"/>
        </w:rPr>
        <w:t xml:space="preserve"> </w:t>
      </w:r>
      <w:r w:rsidRPr="00D54675">
        <w:rPr>
          <w:rFonts w:ascii="Times New Roman" w:hAnsi="Times New Roman" w:cs="Times New Roman"/>
          <w:sz w:val="20"/>
          <w:szCs w:val="20"/>
        </w:rPr>
        <w:t xml:space="preserve">Niinemets &amp; </w:t>
      </w:r>
      <w:r w:rsidR="00716EF3">
        <w:rPr>
          <w:rFonts w:ascii="Times New Roman" w:hAnsi="Times New Roman" w:cs="Times New Roman"/>
          <w:sz w:val="20"/>
          <w:szCs w:val="20"/>
        </w:rPr>
        <w:t xml:space="preserve">J. </w:t>
      </w:r>
      <w:r w:rsidRPr="00D54675">
        <w:rPr>
          <w:rFonts w:ascii="Times New Roman" w:hAnsi="Times New Roman" w:cs="Times New Roman"/>
          <w:sz w:val="20"/>
          <w:szCs w:val="20"/>
        </w:rPr>
        <w:t xml:space="preserve">Gielis. (2020). Can leaf shape be represented by the ratio of leaf width to length? Evidence from nine species of Magnolia and michelia (Magnoliaceae). Forests, 12(Farooq1 et al.), 41. https://doi.org/10.3390/f12010041  </w:t>
      </w:r>
    </w:p>
    <w:p w14:paraId="05FA19CC" w14:textId="5F3CB67F"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Shi, P. J., Li, Y. R., </w:t>
      </w:r>
      <w:r w:rsidR="00716EF3" w:rsidRPr="00716EF3">
        <w:rPr>
          <w:rFonts w:ascii="Times New Roman" w:hAnsi="Times New Roman" w:cs="Times New Roman"/>
          <w:sz w:val="20"/>
          <w:szCs w:val="20"/>
        </w:rPr>
        <w:t>Ü</w:t>
      </w:r>
      <w:r w:rsidR="00716EF3">
        <w:rPr>
          <w:rFonts w:ascii="Times New Roman" w:hAnsi="Times New Roman" w:cs="Times New Roman"/>
          <w:sz w:val="20"/>
          <w:szCs w:val="20"/>
        </w:rPr>
        <w:t>.</w:t>
      </w:r>
      <w:r w:rsidR="00716EF3" w:rsidRPr="00716EF3">
        <w:rPr>
          <w:rFonts w:ascii="Times New Roman" w:hAnsi="Times New Roman" w:cs="Times New Roman"/>
          <w:sz w:val="20"/>
          <w:szCs w:val="20"/>
        </w:rPr>
        <w:t xml:space="preserve"> </w:t>
      </w:r>
      <w:r w:rsidRPr="00D54675">
        <w:rPr>
          <w:rFonts w:ascii="Times New Roman" w:hAnsi="Times New Roman" w:cs="Times New Roman"/>
          <w:sz w:val="20"/>
          <w:szCs w:val="20"/>
        </w:rPr>
        <w:t xml:space="preserve">Niinemets, </w:t>
      </w:r>
      <w:r w:rsidR="00716EF3">
        <w:rPr>
          <w:rFonts w:ascii="Times New Roman" w:hAnsi="Times New Roman" w:cs="Times New Roman"/>
          <w:sz w:val="20"/>
          <w:szCs w:val="20"/>
        </w:rPr>
        <w:t xml:space="preserve">E. </w:t>
      </w:r>
      <w:r w:rsidRPr="00D54675">
        <w:rPr>
          <w:rFonts w:ascii="Times New Roman" w:hAnsi="Times New Roman" w:cs="Times New Roman"/>
          <w:sz w:val="20"/>
          <w:szCs w:val="20"/>
        </w:rPr>
        <w:t xml:space="preserve">Olson &amp; </w:t>
      </w:r>
      <w:r w:rsidR="00716EF3">
        <w:rPr>
          <w:rFonts w:ascii="Times New Roman" w:hAnsi="Times New Roman" w:cs="Times New Roman"/>
          <w:sz w:val="20"/>
          <w:szCs w:val="20"/>
        </w:rPr>
        <w:t xml:space="preserve">J. </w:t>
      </w:r>
      <w:r w:rsidRPr="00D54675">
        <w:rPr>
          <w:rFonts w:ascii="Times New Roman" w:hAnsi="Times New Roman" w:cs="Times New Roman"/>
          <w:sz w:val="20"/>
          <w:szCs w:val="20"/>
        </w:rPr>
        <w:t>Schrader. (2021). Influence of leaf shape on the scaling of leaf surface area and length in bamboo plants. Trees, 35(Farooq1 et al.), 709-715. https://doi.org/10.1007/s00468-020-02058-8</w:t>
      </w:r>
    </w:p>
    <w:p w14:paraId="66BC5B55" w14:textId="629DCD98"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Teobaldelli, M., </w:t>
      </w:r>
      <w:r w:rsidR="00716EF3">
        <w:rPr>
          <w:rFonts w:ascii="Times New Roman" w:hAnsi="Times New Roman" w:cs="Times New Roman"/>
          <w:sz w:val="20"/>
          <w:szCs w:val="20"/>
        </w:rPr>
        <w:t xml:space="preserve">Y. </w:t>
      </w:r>
      <w:r w:rsidRPr="00D54675">
        <w:rPr>
          <w:rFonts w:ascii="Times New Roman" w:hAnsi="Times New Roman" w:cs="Times New Roman"/>
          <w:sz w:val="20"/>
          <w:szCs w:val="20"/>
        </w:rPr>
        <w:t xml:space="preserve">Rouphael, </w:t>
      </w:r>
      <w:r w:rsidR="00716EF3">
        <w:rPr>
          <w:rFonts w:ascii="Times New Roman" w:hAnsi="Times New Roman" w:cs="Times New Roman"/>
          <w:sz w:val="20"/>
          <w:szCs w:val="20"/>
        </w:rPr>
        <w:t xml:space="preserve">G. </w:t>
      </w:r>
      <w:r w:rsidRPr="00D54675">
        <w:rPr>
          <w:rFonts w:ascii="Times New Roman" w:hAnsi="Times New Roman" w:cs="Times New Roman"/>
          <w:sz w:val="20"/>
          <w:szCs w:val="20"/>
        </w:rPr>
        <w:t xml:space="preserve">Fascella, </w:t>
      </w:r>
      <w:r w:rsidR="00716EF3">
        <w:rPr>
          <w:rFonts w:ascii="Times New Roman" w:hAnsi="Times New Roman" w:cs="Times New Roman"/>
          <w:sz w:val="20"/>
          <w:szCs w:val="20"/>
        </w:rPr>
        <w:t xml:space="preserve">V. </w:t>
      </w:r>
      <w:r w:rsidRPr="00D54675">
        <w:rPr>
          <w:rFonts w:ascii="Times New Roman" w:hAnsi="Times New Roman" w:cs="Times New Roman"/>
          <w:sz w:val="20"/>
          <w:szCs w:val="20"/>
        </w:rPr>
        <w:t xml:space="preserve">Cristofori, </w:t>
      </w:r>
      <w:r w:rsidR="00716EF3">
        <w:rPr>
          <w:rFonts w:ascii="Times New Roman" w:hAnsi="Times New Roman" w:cs="Times New Roman"/>
          <w:sz w:val="20"/>
          <w:szCs w:val="20"/>
        </w:rPr>
        <w:t xml:space="preserve">C.M. </w:t>
      </w:r>
      <w:r w:rsidRPr="00D54675">
        <w:rPr>
          <w:rFonts w:ascii="Times New Roman" w:hAnsi="Times New Roman" w:cs="Times New Roman"/>
          <w:sz w:val="20"/>
          <w:szCs w:val="20"/>
        </w:rPr>
        <w:t xml:space="preserve">Rivera &amp; </w:t>
      </w:r>
      <w:r w:rsidR="00716EF3">
        <w:rPr>
          <w:rFonts w:ascii="Times New Roman" w:hAnsi="Times New Roman" w:cs="Times New Roman"/>
          <w:sz w:val="20"/>
          <w:szCs w:val="20"/>
        </w:rPr>
        <w:t xml:space="preserve">B. </w:t>
      </w:r>
      <w:r w:rsidRPr="00D54675">
        <w:rPr>
          <w:rFonts w:ascii="Times New Roman" w:hAnsi="Times New Roman" w:cs="Times New Roman"/>
          <w:sz w:val="20"/>
          <w:szCs w:val="20"/>
        </w:rPr>
        <w:t xml:space="preserve">Basile. (2019). Developing an accurate and fast non-destructive single leaf area model for loquat (Eriobotrya japonica Lindl) cultivars. Plants, 8(7), e230. https://doi.org/10.3390/plants8070230 </w:t>
      </w:r>
    </w:p>
    <w:p w14:paraId="6308BCDE" w14:textId="4546610C"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Van Welzen, P. C. &amp; </w:t>
      </w:r>
      <w:r w:rsidR="00716EF3">
        <w:rPr>
          <w:rFonts w:ascii="Times New Roman" w:hAnsi="Times New Roman" w:cs="Times New Roman"/>
          <w:sz w:val="20"/>
          <w:szCs w:val="20"/>
        </w:rPr>
        <w:t xml:space="preserve">F.J. </w:t>
      </w:r>
      <w:r w:rsidRPr="00D54675">
        <w:rPr>
          <w:rFonts w:ascii="Times New Roman" w:hAnsi="Times New Roman" w:cs="Times New Roman"/>
          <w:sz w:val="20"/>
          <w:szCs w:val="20"/>
        </w:rPr>
        <w:t xml:space="preserve">Fernández-Casas. (2017). Cnidoscolus (Euphorbiaceae) escaped in Malesia. Blumea-Biodiversity, Evolution and Biogeography of Plants, 62(Farooq1 et al.), 84-86. https://doi.org/10.3767/000651917X695476 </w:t>
      </w:r>
    </w:p>
    <w:p w14:paraId="61428D8D" w14:textId="6F59AA0D"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Winship, L. J., </w:t>
      </w:r>
      <w:r w:rsidR="00716EF3">
        <w:rPr>
          <w:rFonts w:ascii="Times New Roman" w:hAnsi="Times New Roman" w:cs="Times New Roman"/>
          <w:sz w:val="20"/>
          <w:szCs w:val="20"/>
        </w:rPr>
        <w:t xml:space="preserve">G. </w:t>
      </w:r>
      <w:r w:rsidRPr="00D54675">
        <w:rPr>
          <w:rFonts w:ascii="Times New Roman" w:hAnsi="Times New Roman" w:cs="Times New Roman"/>
          <w:sz w:val="20"/>
          <w:szCs w:val="20"/>
        </w:rPr>
        <w:t xml:space="preserve">Obermeyer, </w:t>
      </w:r>
      <w:r w:rsidR="00716EF3">
        <w:rPr>
          <w:rFonts w:ascii="Times New Roman" w:hAnsi="Times New Roman" w:cs="Times New Roman"/>
          <w:sz w:val="20"/>
          <w:szCs w:val="20"/>
        </w:rPr>
        <w:t xml:space="preserve">A. </w:t>
      </w:r>
      <w:r w:rsidRPr="00D54675">
        <w:rPr>
          <w:rFonts w:ascii="Times New Roman" w:hAnsi="Times New Roman" w:cs="Times New Roman"/>
          <w:sz w:val="20"/>
          <w:szCs w:val="20"/>
        </w:rPr>
        <w:t xml:space="preserve">Geitmann &amp; </w:t>
      </w:r>
      <w:r w:rsidR="00716EF3">
        <w:rPr>
          <w:rFonts w:ascii="Times New Roman" w:hAnsi="Times New Roman" w:cs="Times New Roman"/>
          <w:sz w:val="20"/>
          <w:szCs w:val="20"/>
        </w:rPr>
        <w:t xml:space="preserve">P.K. </w:t>
      </w:r>
      <w:r w:rsidRPr="00D54675">
        <w:rPr>
          <w:rFonts w:ascii="Times New Roman" w:hAnsi="Times New Roman" w:cs="Times New Roman"/>
          <w:sz w:val="20"/>
          <w:szCs w:val="20"/>
        </w:rPr>
        <w:t>Hepler. (2010). Under pressure, cell walls set the pace. Trends in plant science, 15(7), 363-369. https://doi.org/10.1016/j.tplants.2010.04.005</w:t>
      </w:r>
    </w:p>
    <w:p w14:paraId="513D528F" w14:textId="7DBFA450"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Yu, X., Shi, P., </w:t>
      </w:r>
      <w:r w:rsidR="00716EF3">
        <w:rPr>
          <w:rFonts w:ascii="Times New Roman" w:hAnsi="Times New Roman" w:cs="Times New Roman"/>
          <w:sz w:val="20"/>
          <w:szCs w:val="20"/>
        </w:rPr>
        <w:t xml:space="preserve">J. </w:t>
      </w:r>
      <w:r w:rsidRPr="00D54675">
        <w:rPr>
          <w:rFonts w:ascii="Times New Roman" w:hAnsi="Times New Roman" w:cs="Times New Roman"/>
          <w:sz w:val="20"/>
          <w:szCs w:val="20"/>
        </w:rPr>
        <w:t xml:space="preserve">Schrader &amp; </w:t>
      </w:r>
      <w:r w:rsidR="00716EF3">
        <w:rPr>
          <w:rFonts w:ascii="Times New Roman" w:hAnsi="Times New Roman" w:cs="Times New Roman"/>
          <w:sz w:val="20"/>
          <w:szCs w:val="20"/>
        </w:rPr>
        <w:t xml:space="preserve">K.J. </w:t>
      </w:r>
      <w:r w:rsidRPr="00D54675">
        <w:rPr>
          <w:rFonts w:ascii="Times New Roman" w:hAnsi="Times New Roman" w:cs="Times New Roman"/>
          <w:sz w:val="20"/>
          <w:szCs w:val="20"/>
        </w:rPr>
        <w:t xml:space="preserve">Niklas. (2020). Non-destructive estimation of leaf area for 15 species of vines with different leaf shapes. American Journal of Botany, 107(11), 1481-1490. https://doi.org/10.1002/ajb2.1560 </w:t>
      </w:r>
    </w:p>
    <w:p w14:paraId="389506D9" w14:textId="23A5C440"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Yusnita, Y., </w:t>
      </w:r>
      <w:r w:rsidR="00716EF3">
        <w:rPr>
          <w:rFonts w:ascii="Times New Roman" w:hAnsi="Times New Roman" w:cs="Times New Roman"/>
          <w:sz w:val="20"/>
          <w:szCs w:val="20"/>
        </w:rPr>
        <w:t xml:space="preserve">J. </w:t>
      </w:r>
      <w:r w:rsidRPr="00D54675">
        <w:rPr>
          <w:rFonts w:ascii="Times New Roman" w:hAnsi="Times New Roman" w:cs="Times New Roman"/>
          <w:sz w:val="20"/>
          <w:szCs w:val="20"/>
        </w:rPr>
        <w:t xml:space="preserve">Jamaludin, </w:t>
      </w:r>
      <w:r w:rsidR="00716EF3">
        <w:rPr>
          <w:rFonts w:ascii="Times New Roman" w:hAnsi="Times New Roman" w:cs="Times New Roman"/>
          <w:sz w:val="20"/>
          <w:szCs w:val="20"/>
        </w:rPr>
        <w:t xml:space="preserve">A. </w:t>
      </w:r>
      <w:r w:rsidRPr="00D54675">
        <w:rPr>
          <w:rFonts w:ascii="Times New Roman" w:hAnsi="Times New Roman" w:cs="Times New Roman"/>
          <w:sz w:val="20"/>
          <w:szCs w:val="20"/>
        </w:rPr>
        <w:t xml:space="preserve">Agustiansyah &amp; </w:t>
      </w:r>
      <w:r w:rsidR="00716EF3">
        <w:rPr>
          <w:rFonts w:ascii="Times New Roman" w:hAnsi="Times New Roman" w:cs="Times New Roman"/>
          <w:sz w:val="20"/>
          <w:szCs w:val="20"/>
        </w:rPr>
        <w:t xml:space="preserve">D. </w:t>
      </w:r>
      <w:r w:rsidRPr="00D54675">
        <w:rPr>
          <w:rFonts w:ascii="Times New Roman" w:hAnsi="Times New Roman" w:cs="Times New Roman"/>
          <w:sz w:val="20"/>
          <w:szCs w:val="20"/>
        </w:rPr>
        <w:t xml:space="preserve">Hapsoro. (2017). A combination of IBA and NAA resulted in better rooting and shoot sprouting than single auxin on Malay apple [Syzygium malaccense (L.) Merr. &amp; Perry] stem cuttings. AGRIVITA, Journal of Agricultural Science, 40(Farooq1 et al.), 80-90. http://doi.org/10.17503/agrivita.v40i0.1210 </w:t>
      </w:r>
    </w:p>
    <w:p w14:paraId="483496F0" w14:textId="7AF48CB0" w:rsidR="00CA246C" w:rsidRPr="00D54675" w:rsidRDefault="00CA246C" w:rsidP="00CA246C">
      <w:pPr>
        <w:ind w:left="567" w:hanging="567"/>
        <w:rPr>
          <w:rFonts w:ascii="Times New Roman" w:hAnsi="Times New Roman" w:cs="Times New Roman"/>
          <w:sz w:val="20"/>
          <w:szCs w:val="20"/>
        </w:rPr>
      </w:pPr>
      <w:r w:rsidRPr="00D54675">
        <w:rPr>
          <w:rFonts w:ascii="Times New Roman" w:hAnsi="Times New Roman" w:cs="Times New Roman"/>
          <w:sz w:val="20"/>
          <w:szCs w:val="20"/>
        </w:rPr>
        <w:t xml:space="preserve">Zulkarnaini, Z. M., </w:t>
      </w:r>
      <w:r w:rsidR="00716EF3">
        <w:rPr>
          <w:rFonts w:ascii="Times New Roman" w:hAnsi="Times New Roman" w:cs="Times New Roman"/>
          <w:sz w:val="20"/>
          <w:szCs w:val="20"/>
        </w:rPr>
        <w:t xml:space="preserve">S. Z. </w:t>
      </w:r>
      <w:r w:rsidRPr="00D54675">
        <w:rPr>
          <w:rFonts w:ascii="Times New Roman" w:hAnsi="Times New Roman" w:cs="Times New Roman"/>
          <w:sz w:val="20"/>
          <w:szCs w:val="20"/>
        </w:rPr>
        <w:t xml:space="preserve">Sakimin, </w:t>
      </w:r>
      <w:r w:rsidR="00716EF3">
        <w:rPr>
          <w:rFonts w:ascii="Times New Roman" w:hAnsi="Times New Roman" w:cs="Times New Roman"/>
          <w:sz w:val="20"/>
          <w:szCs w:val="20"/>
        </w:rPr>
        <w:t>M.T.M.</w:t>
      </w:r>
      <w:r w:rsidRPr="00D54675">
        <w:rPr>
          <w:rFonts w:ascii="Times New Roman" w:hAnsi="Times New Roman" w:cs="Times New Roman"/>
          <w:sz w:val="20"/>
          <w:szCs w:val="20"/>
        </w:rPr>
        <w:t xml:space="preserve">Mohamed &amp; </w:t>
      </w:r>
      <w:r w:rsidR="00716EF3">
        <w:rPr>
          <w:rFonts w:ascii="Times New Roman" w:hAnsi="Times New Roman" w:cs="Times New Roman"/>
          <w:sz w:val="20"/>
          <w:szCs w:val="20"/>
        </w:rPr>
        <w:t xml:space="preserve">H.Z. </w:t>
      </w:r>
      <w:r w:rsidRPr="00D54675">
        <w:rPr>
          <w:rFonts w:ascii="Times New Roman" w:hAnsi="Times New Roman" w:cs="Times New Roman"/>
          <w:sz w:val="20"/>
          <w:szCs w:val="20"/>
        </w:rPr>
        <w:t xml:space="preserve">Jaafar. (2019). Changes in leaf area index, leaf mass ratio, net assimilation rate, relative growth rate and specific leaf area two cultivars of fig (Ficus Carica L.) treated under different concentrations of brassinolide. </w:t>
      </w:r>
    </w:p>
    <w:p w14:paraId="23AC2019" w14:textId="77777777" w:rsidR="00EC41FB" w:rsidRDefault="00EC41FB"/>
    <w:sectPr w:rsidR="00EC4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328A5"/>
    <w:multiLevelType w:val="multilevel"/>
    <w:tmpl w:val="D5F83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664477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46C"/>
    <w:rsid w:val="00014FD0"/>
    <w:rsid w:val="0002589D"/>
    <w:rsid w:val="00041CD0"/>
    <w:rsid w:val="0004645F"/>
    <w:rsid w:val="00076A3D"/>
    <w:rsid w:val="0008613D"/>
    <w:rsid w:val="001725EB"/>
    <w:rsid w:val="001A0459"/>
    <w:rsid w:val="001B7751"/>
    <w:rsid w:val="00200DE1"/>
    <w:rsid w:val="00241D7F"/>
    <w:rsid w:val="0029261A"/>
    <w:rsid w:val="002A7D4A"/>
    <w:rsid w:val="002D2297"/>
    <w:rsid w:val="002E163C"/>
    <w:rsid w:val="002F4557"/>
    <w:rsid w:val="00306966"/>
    <w:rsid w:val="003652BB"/>
    <w:rsid w:val="003739DF"/>
    <w:rsid w:val="00375E4C"/>
    <w:rsid w:val="00404AD9"/>
    <w:rsid w:val="00414D64"/>
    <w:rsid w:val="004A10A9"/>
    <w:rsid w:val="004A51FF"/>
    <w:rsid w:val="00522308"/>
    <w:rsid w:val="0052750B"/>
    <w:rsid w:val="005528A3"/>
    <w:rsid w:val="005E4317"/>
    <w:rsid w:val="00716EF3"/>
    <w:rsid w:val="00751680"/>
    <w:rsid w:val="00775A51"/>
    <w:rsid w:val="007845D9"/>
    <w:rsid w:val="007E7321"/>
    <w:rsid w:val="00834736"/>
    <w:rsid w:val="008928DF"/>
    <w:rsid w:val="008D67FD"/>
    <w:rsid w:val="00947826"/>
    <w:rsid w:val="00A177F9"/>
    <w:rsid w:val="00A337DE"/>
    <w:rsid w:val="00A845F2"/>
    <w:rsid w:val="00B82F7D"/>
    <w:rsid w:val="00C31FB7"/>
    <w:rsid w:val="00C86593"/>
    <w:rsid w:val="00CA246C"/>
    <w:rsid w:val="00CF738C"/>
    <w:rsid w:val="00D92102"/>
    <w:rsid w:val="00DA29B7"/>
    <w:rsid w:val="00DA3A36"/>
    <w:rsid w:val="00DF7693"/>
    <w:rsid w:val="00E206C3"/>
    <w:rsid w:val="00E51FC4"/>
    <w:rsid w:val="00E9561C"/>
    <w:rsid w:val="00EC41FB"/>
    <w:rsid w:val="00F1584B"/>
    <w:rsid w:val="00F21DCE"/>
    <w:rsid w:val="00F91458"/>
    <w:rsid w:val="00FD2B31"/>
    <w:rsid w:val="00FF6D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4E6B4"/>
  <w15:chartTrackingRefBased/>
  <w15:docId w15:val="{8136ABB1-0489-1546-B467-DCB8BAAF6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46C"/>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12</Pages>
  <Words>5032</Words>
  <Characters>28685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Tarmizi Taher</dc:creator>
  <cp:keywords/>
  <dc:description/>
  <cp:lastModifiedBy>user</cp:lastModifiedBy>
  <cp:revision>27</cp:revision>
  <dcterms:created xsi:type="dcterms:W3CDTF">2023-06-23T01:43:00Z</dcterms:created>
  <dcterms:modified xsi:type="dcterms:W3CDTF">2023-06-23T03:21:00Z</dcterms:modified>
</cp:coreProperties>
</file>